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3A5748" w14:textId="77777777" w:rsidR="00C118EE" w:rsidRDefault="00C118EE">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pPr w:vertAnchor="page" w:horzAnchor="margin" w:tblpY="2949"/>
        <w:tblW w:w="283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835"/>
      </w:tblGrid>
      <w:tr w:rsidR="00C118EE" w14:paraId="01BF3A66" w14:textId="77777777">
        <w:trPr>
          <w:trHeight w:val="238"/>
        </w:trPr>
        <w:tc>
          <w:tcPr>
            <w:tcW w:w="2835" w:type="dxa"/>
          </w:tcPr>
          <w:p w14:paraId="23334A89" w14:textId="77777777" w:rsidR="00C118EE" w:rsidRDefault="0014712B">
            <w:pPr>
              <w:pBdr>
                <w:top w:val="nil"/>
                <w:left w:val="nil"/>
                <w:bottom w:val="nil"/>
                <w:right w:val="nil"/>
                <w:between w:val="nil"/>
              </w:pBdr>
              <w:rPr>
                <w:rFonts w:ascii="Times New Roman" w:eastAsia="Times New Roman" w:hAnsi="Times New Roman" w:cs="Times New Roman"/>
                <w:b/>
                <w:bCs/>
                <w:i/>
                <w:iCs/>
                <w:color w:val="050033"/>
                <w:sz w:val="21"/>
                <w:szCs w:val="21"/>
              </w:rPr>
            </w:pPr>
            <w:r>
              <w:rPr>
                <w:rFonts w:ascii="Times New Roman" w:eastAsia="Times New Roman" w:hAnsi="Times New Roman" w:cs="Times New Roman"/>
                <w:b/>
                <w:bCs/>
                <w:i/>
                <w:iCs/>
                <w:color w:val="050033"/>
                <w:sz w:val="21"/>
                <w:szCs w:val="21"/>
              </w:rPr>
              <w:t xml:space="preserve"> Nota de prensa</w:t>
            </w:r>
          </w:p>
        </w:tc>
      </w:tr>
      <w:tr w:rsidR="00C118EE" w14:paraId="6B79EDCF" w14:textId="77777777">
        <w:trPr>
          <w:trHeight w:val="34"/>
        </w:trPr>
        <w:tc>
          <w:tcPr>
            <w:tcW w:w="2835" w:type="dxa"/>
          </w:tcPr>
          <w:p w14:paraId="202FF941" w14:textId="77777777" w:rsidR="00C118EE" w:rsidRDefault="00C118EE"/>
        </w:tc>
      </w:tr>
      <w:tr w:rsidR="00C118EE" w14:paraId="375942F8" w14:textId="77777777">
        <w:trPr>
          <w:trHeight w:val="34"/>
        </w:trPr>
        <w:tc>
          <w:tcPr>
            <w:tcW w:w="2835" w:type="dxa"/>
          </w:tcPr>
          <w:p w14:paraId="3FA4FBB6" w14:textId="77777777" w:rsidR="00C118EE" w:rsidRDefault="00C118EE"/>
        </w:tc>
      </w:tr>
      <w:tr w:rsidR="00C118EE" w14:paraId="00073DBC" w14:textId="77777777">
        <w:trPr>
          <w:trHeight w:val="160"/>
        </w:trPr>
        <w:tc>
          <w:tcPr>
            <w:tcW w:w="2835" w:type="dxa"/>
          </w:tcPr>
          <w:p w14:paraId="766AF35D" w14:textId="77777777" w:rsidR="00C118EE" w:rsidRDefault="0014712B">
            <w:pPr>
              <w:pBdr>
                <w:top w:val="nil"/>
                <w:left w:val="nil"/>
                <w:bottom w:val="nil"/>
                <w:right w:val="nil"/>
                <w:between w:val="nil"/>
              </w:pBdr>
              <w:rPr>
                <w:b/>
                <w:bCs/>
                <w:color w:val="050033"/>
                <w:sz w:val="10"/>
                <w:szCs w:val="10"/>
              </w:rPr>
            </w:pPr>
            <w:r>
              <w:rPr>
                <w:b/>
                <w:bCs/>
                <w:color w:val="050033"/>
                <w:sz w:val="10"/>
                <w:szCs w:val="10"/>
              </w:rPr>
              <w:t>26 de octubre de 2026</w:t>
            </w:r>
          </w:p>
        </w:tc>
      </w:tr>
      <w:tr w:rsidR="00C118EE" w14:paraId="6B9E9C8C" w14:textId="77777777">
        <w:trPr>
          <w:trHeight w:val="160"/>
        </w:trPr>
        <w:tc>
          <w:tcPr>
            <w:tcW w:w="2835" w:type="dxa"/>
          </w:tcPr>
          <w:p w14:paraId="30D80E05" w14:textId="77777777" w:rsidR="00C118EE" w:rsidRDefault="00C118EE">
            <w:pPr>
              <w:pBdr>
                <w:top w:val="nil"/>
                <w:left w:val="nil"/>
                <w:bottom w:val="nil"/>
                <w:right w:val="nil"/>
                <w:between w:val="nil"/>
              </w:pBdr>
              <w:rPr>
                <w:b/>
                <w:bCs/>
                <w:color w:val="050033"/>
                <w:sz w:val="10"/>
                <w:szCs w:val="10"/>
              </w:rPr>
            </w:pPr>
          </w:p>
        </w:tc>
      </w:tr>
    </w:tbl>
    <w:p w14:paraId="3EE8A052" w14:textId="77777777" w:rsidR="00C118EE" w:rsidRDefault="00C118EE">
      <w:pPr>
        <w:pBdr>
          <w:top w:val="nil"/>
          <w:left w:val="nil"/>
          <w:bottom w:val="nil"/>
          <w:right w:val="nil"/>
          <w:between w:val="nil"/>
        </w:pBdr>
        <w:rPr>
          <w:rFonts w:ascii="Times New Roman" w:eastAsia="Times New Roman" w:hAnsi="Times New Roman" w:cs="Times New Roman"/>
          <w:b/>
          <w:bCs/>
          <w:i/>
          <w:iCs/>
          <w:color w:val="050033"/>
          <w:sz w:val="52"/>
          <w:szCs w:val="52"/>
        </w:rPr>
      </w:pPr>
    </w:p>
    <w:p w14:paraId="7D5B2E32" w14:textId="25F4A635" w:rsidR="00C118EE" w:rsidRPr="00594D16" w:rsidRDefault="00B80184">
      <w:pPr>
        <w:pBdr>
          <w:top w:val="nil"/>
          <w:left w:val="nil"/>
          <w:bottom w:val="nil"/>
          <w:right w:val="nil"/>
          <w:between w:val="nil"/>
        </w:pBdr>
        <w:jc w:val="center"/>
        <w:rPr>
          <w:rFonts w:ascii="Times New Roman" w:eastAsia="Times New Roman" w:hAnsi="Times New Roman" w:cs="Times New Roman"/>
          <w:b/>
          <w:bCs/>
          <w:i/>
          <w:iCs/>
          <w:color w:val="050033"/>
          <w:sz w:val="52"/>
          <w:szCs w:val="52"/>
        </w:rPr>
      </w:pPr>
      <w:r>
        <w:rPr>
          <w:rFonts w:ascii="Times New Roman" w:eastAsia="Times New Roman" w:hAnsi="Times New Roman" w:cs="Times New Roman"/>
          <w:b/>
          <w:bCs/>
          <w:i/>
          <w:iCs/>
          <w:color w:val="050033"/>
          <w:sz w:val="52"/>
          <w:szCs w:val="52"/>
        </w:rPr>
        <w:t>Nuevos viajeros y destinos transformarán el mapa turístico europeo de aquí</w:t>
      </w:r>
      <w:r w:rsidRPr="00594D16">
        <w:rPr>
          <w:rFonts w:ascii="Times New Roman" w:eastAsia="Times New Roman" w:hAnsi="Times New Roman" w:cs="Times New Roman"/>
          <w:b/>
          <w:bCs/>
          <w:i/>
          <w:iCs/>
          <w:color w:val="050033"/>
          <w:sz w:val="52"/>
          <w:szCs w:val="52"/>
        </w:rPr>
        <w:t xml:space="preserve"> a 2036, según un nuevo informe de Accor</w:t>
      </w:r>
    </w:p>
    <w:p w14:paraId="21737F28" w14:textId="77777777" w:rsidR="00594D16" w:rsidRPr="00594D16" w:rsidRDefault="00594D16">
      <w:pPr>
        <w:pBdr>
          <w:top w:val="nil"/>
          <w:left w:val="nil"/>
          <w:bottom w:val="nil"/>
          <w:right w:val="nil"/>
          <w:between w:val="nil"/>
        </w:pBdr>
        <w:jc w:val="center"/>
        <w:rPr>
          <w:rFonts w:ascii="Times New Roman" w:eastAsia="Times New Roman" w:hAnsi="Times New Roman" w:cs="Times New Roman"/>
          <w:b/>
          <w:bCs/>
          <w:i/>
          <w:iCs/>
          <w:color w:val="050033"/>
          <w:sz w:val="52"/>
          <w:szCs w:val="52"/>
        </w:rPr>
      </w:pPr>
    </w:p>
    <w:p w14:paraId="303CBBC1" w14:textId="66117A1B" w:rsidR="00C118EE" w:rsidRPr="00483B1D" w:rsidRDefault="00B80184" w:rsidP="00594D16">
      <w:pPr>
        <w:numPr>
          <w:ilvl w:val="0"/>
          <w:numId w:val="1"/>
        </w:numPr>
        <w:pBdr>
          <w:top w:val="nil"/>
          <w:left w:val="nil"/>
          <w:bottom w:val="nil"/>
          <w:right w:val="nil"/>
          <w:between w:val="nil"/>
        </w:pBdr>
        <w:ind w:left="90" w:hanging="359"/>
        <w:rPr>
          <w:b/>
          <w:bCs/>
          <w:color w:val="74758C"/>
          <w:sz w:val="18"/>
          <w:szCs w:val="18"/>
        </w:rPr>
      </w:pPr>
      <w:r w:rsidRPr="00483B1D">
        <w:rPr>
          <w:b/>
          <w:bCs/>
          <w:color w:val="74758C"/>
          <w:sz w:val="18"/>
          <w:szCs w:val="18"/>
        </w:rPr>
        <w:t>La demanda de alojamiento turístico en Europa crecerá un 32% hasta 2036</w:t>
      </w:r>
    </w:p>
    <w:p w14:paraId="24FBB09C" w14:textId="77777777" w:rsidR="00C118EE" w:rsidRPr="00483B1D" w:rsidRDefault="00C118EE" w:rsidP="00594D16">
      <w:pPr>
        <w:pBdr>
          <w:top w:val="nil"/>
          <w:left w:val="nil"/>
          <w:bottom w:val="nil"/>
          <w:right w:val="nil"/>
          <w:between w:val="nil"/>
        </w:pBdr>
        <w:ind w:left="90"/>
        <w:rPr>
          <w:b/>
          <w:bCs/>
          <w:color w:val="74758C"/>
          <w:sz w:val="18"/>
          <w:szCs w:val="18"/>
        </w:rPr>
      </w:pPr>
    </w:p>
    <w:p w14:paraId="7E25C6CA" w14:textId="6C4BC980" w:rsidR="00C118EE" w:rsidRPr="00483B1D" w:rsidRDefault="00B80184" w:rsidP="00594D16">
      <w:pPr>
        <w:numPr>
          <w:ilvl w:val="0"/>
          <w:numId w:val="1"/>
        </w:numPr>
        <w:pBdr>
          <w:top w:val="nil"/>
          <w:left w:val="nil"/>
          <w:bottom w:val="nil"/>
          <w:right w:val="nil"/>
          <w:between w:val="nil"/>
        </w:pBdr>
        <w:ind w:left="90" w:hanging="359"/>
        <w:rPr>
          <w:b/>
          <w:bCs/>
          <w:color w:val="74758C"/>
          <w:sz w:val="18"/>
          <w:szCs w:val="18"/>
        </w:rPr>
      </w:pPr>
      <w:r w:rsidRPr="00483B1D">
        <w:rPr>
          <w:b/>
          <w:bCs/>
          <w:color w:val="74758C"/>
          <w:sz w:val="18"/>
          <w:szCs w:val="18"/>
        </w:rPr>
        <w:t>El turismo internacional crecerá casi el doble que la demanda nacional y generará cerca de mil millones de pernoctaciones internacionales adicionales</w:t>
      </w:r>
      <w:r w:rsidR="00483B1D" w:rsidRPr="00483B1D">
        <w:rPr>
          <w:b/>
          <w:bCs/>
          <w:color w:val="74758C"/>
          <w:sz w:val="18"/>
          <w:szCs w:val="18"/>
        </w:rPr>
        <w:t xml:space="preserve"> año</w:t>
      </w:r>
    </w:p>
    <w:p w14:paraId="2DDD3A36" w14:textId="77777777" w:rsidR="00483B1D" w:rsidRPr="00483B1D" w:rsidRDefault="00483B1D" w:rsidP="00483B1D">
      <w:pPr>
        <w:pBdr>
          <w:top w:val="nil"/>
          <w:left w:val="nil"/>
          <w:bottom w:val="nil"/>
          <w:right w:val="nil"/>
          <w:between w:val="nil"/>
        </w:pBdr>
        <w:rPr>
          <w:b/>
          <w:bCs/>
          <w:color w:val="74758C"/>
          <w:sz w:val="18"/>
          <w:szCs w:val="18"/>
        </w:rPr>
      </w:pPr>
    </w:p>
    <w:p w14:paraId="0A48389C" w14:textId="38364521" w:rsidR="00C118EE" w:rsidRPr="00483B1D" w:rsidRDefault="00483B1D" w:rsidP="00594D16">
      <w:pPr>
        <w:numPr>
          <w:ilvl w:val="0"/>
          <w:numId w:val="1"/>
        </w:numPr>
        <w:pBdr>
          <w:top w:val="nil"/>
          <w:left w:val="nil"/>
          <w:bottom w:val="nil"/>
          <w:right w:val="nil"/>
          <w:between w:val="nil"/>
        </w:pBdr>
        <w:ind w:left="90" w:hanging="359"/>
        <w:rPr>
          <w:b/>
          <w:bCs/>
          <w:color w:val="74758C"/>
          <w:sz w:val="18"/>
          <w:szCs w:val="18"/>
        </w:rPr>
      </w:pPr>
      <w:r>
        <w:rPr>
          <w:b/>
          <w:bCs/>
          <w:color w:val="74758C"/>
          <w:sz w:val="18"/>
          <w:szCs w:val="18"/>
        </w:rPr>
        <w:t>Asia, Oriente Medio y Europa Central y Oriental se perfilan entre los mercados emisores de mayor crecimiento</w:t>
      </w:r>
    </w:p>
    <w:p w14:paraId="0FB06A81" w14:textId="77777777" w:rsidR="00C118EE" w:rsidRPr="00483B1D" w:rsidRDefault="00C118EE" w:rsidP="00594D16">
      <w:pPr>
        <w:pBdr>
          <w:top w:val="nil"/>
          <w:left w:val="nil"/>
          <w:bottom w:val="nil"/>
          <w:right w:val="nil"/>
          <w:between w:val="nil"/>
        </w:pBdr>
        <w:ind w:left="90"/>
        <w:rPr>
          <w:b/>
          <w:bCs/>
          <w:color w:val="74758C"/>
          <w:sz w:val="18"/>
          <w:szCs w:val="18"/>
        </w:rPr>
      </w:pPr>
    </w:p>
    <w:p w14:paraId="7DF28251" w14:textId="387DE0A6" w:rsidR="00C118EE" w:rsidRPr="00483B1D" w:rsidRDefault="00483B1D" w:rsidP="00594D16">
      <w:pPr>
        <w:numPr>
          <w:ilvl w:val="0"/>
          <w:numId w:val="1"/>
        </w:numPr>
        <w:pBdr>
          <w:top w:val="nil"/>
          <w:left w:val="nil"/>
          <w:bottom w:val="nil"/>
          <w:right w:val="nil"/>
          <w:between w:val="nil"/>
        </w:pBdr>
        <w:ind w:left="90" w:hanging="359"/>
        <w:rPr>
          <w:b/>
          <w:bCs/>
          <w:color w:val="74758C"/>
          <w:sz w:val="18"/>
          <w:szCs w:val="18"/>
        </w:rPr>
      </w:pPr>
      <w:r>
        <w:rPr>
          <w:b/>
          <w:bCs/>
          <w:color w:val="74758C"/>
          <w:sz w:val="18"/>
          <w:szCs w:val="18"/>
        </w:rPr>
        <w:t>El gasto de los visitantes internacionales superará los 1,</w:t>
      </w:r>
      <w:r w:rsidR="00E30EAE">
        <w:rPr>
          <w:b/>
          <w:bCs/>
          <w:color w:val="74758C"/>
          <w:sz w:val="18"/>
          <w:szCs w:val="18"/>
        </w:rPr>
        <w:t>3 billones de euros en Europa en 2036</w:t>
      </w:r>
    </w:p>
    <w:p w14:paraId="5B7E6B1D" w14:textId="77777777" w:rsidR="00C118EE" w:rsidRPr="00483B1D" w:rsidRDefault="00C118EE" w:rsidP="00594D16">
      <w:pPr>
        <w:pBdr>
          <w:top w:val="nil"/>
          <w:left w:val="nil"/>
          <w:bottom w:val="nil"/>
          <w:right w:val="nil"/>
          <w:between w:val="nil"/>
        </w:pBdr>
        <w:ind w:left="90"/>
        <w:rPr>
          <w:b/>
          <w:bCs/>
          <w:color w:val="74758C"/>
          <w:sz w:val="18"/>
          <w:szCs w:val="18"/>
        </w:rPr>
      </w:pPr>
    </w:p>
    <w:p w14:paraId="1BE023F5" w14:textId="54647D4F" w:rsidR="00C118EE" w:rsidRPr="00483B1D" w:rsidRDefault="00E30EAE" w:rsidP="00594D16">
      <w:pPr>
        <w:numPr>
          <w:ilvl w:val="0"/>
          <w:numId w:val="1"/>
        </w:numPr>
        <w:pBdr>
          <w:top w:val="nil"/>
          <w:left w:val="nil"/>
          <w:bottom w:val="nil"/>
          <w:right w:val="nil"/>
          <w:between w:val="nil"/>
        </w:pBdr>
        <w:ind w:left="90" w:hanging="359"/>
        <w:rPr>
          <w:b/>
          <w:bCs/>
          <w:color w:val="74758C"/>
          <w:sz w:val="18"/>
          <w:szCs w:val="18"/>
        </w:rPr>
      </w:pPr>
      <w:r>
        <w:rPr>
          <w:b/>
          <w:bCs/>
          <w:color w:val="74758C"/>
          <w:sz w:val="18"/>
          <w:szCs w:val="18"/>
        </w:rPr>
        <w:t>Europa Central y Oriental</w:t>
      </w:r>
      <w:r w:rsidR="004301B5">
        <w:rPr>
          <w:b/>
          <w:bCs/>
          <w:color w:val="74758C"/>
          <w:sz w:val="18"/>
          <w:szCs w:val="18"/>
        </w:rPr>
        <w:t>, los países bálticos y parte de los Balcanes figuran entre los destinos con mayor potencial de crecimiento</w:t>
      </w:r>
    </w:p>
    <w:p w14:paraId="00D0417A" w14:textId="4C6C9568" w:rsidR="00C118EE" w:rsidRPr="00483B1D" w:rsidRDefault="00C118EE" w:rsidP="00594D16">
      <w:pPr>
        <w:pBdr>
          <w:top w:val="nil"/>
          <w:left w:val="nil"/>
          <w:bottom w:val="nil"/>
          <w:right w:val="nil"/>
          <w:between w:val="nil"/>
        </w:pBdr>
        <w:ind w:left="90"/>
        <w:rPr>
          <w:b/>
          <w:bCs/>
          <w:color w:val="74758C"/>
          <w:sz w:val="18"/>
          <w:szCs w:val="18"/>
        </w:rPr>
      </w:pPr>
    </w:p>
    <w:p w14:paraId="506CA622" w14:textId="084CD5C4" w:rsidR="00C118EE" w:rsidRPr="00483B1D" w:rsidRDefault="004301B5" w:rsidP="00594D16">
      <w:pPr>
        <w:numPr>
          <w:ilvl w:val="0"/>
          <w:numId w:val="1"/>
        </w:numPr>
        <w:pBdr>
          <w:top w:val="nil"/>
          <w:left w:val="nil"/>
          <w:bottom w:val="nil"/>
          <w:right w:val="nil"/>
          <w:between w:val="nil"/>
        </w:pBdr>
        <w:ind w:left="90" w:hanging="359"/>
        <w:rPr>
          <w:b/>
          <w:bCs/>
          <w:color w:val="74758C"/>
          <w:sz w:val="18"/>
          <w:szCs w:val="18"/>
        </w:rPr>
      </w:pPr>
      <w:r>
        <w:rPr>
          <w:b/>
          <w:bCs/>
          <w:color w:val="74758C"/>
          <w:sz w:val="18"/>
          <w:szCs w:val="18"/>
        </w:rPr>
        <w:t>En España, la demanda de alojamiento crecerá un 35%</w:t>
      </w:r>
      <w:r w:rsidR="00353CE2">
        <w:rPr>
          <w:b/>
          <w:bCs/>
          <w:color w:val="74758C"/>
          <w:sz w:val="18"/>
          <w:szCs w:val="18"/>
        </w:rPr>
        <w:t xml:space="preserve"> y el gasto de los turistas internacionales aumentará un 50% hasta 20</w:t>
      </w:r>
      <w:r w:rsidR="009E008E">
        <w:rPr>
          <w:b/>
          <w:bCs/>
          <w:color w:val="74758C"/>
          <w:sz w:val="18"/>
          <w:szCs w:val="18"/>
        </w:rPr>
        <w:t>36</w:t>
      </w:r>
      <w:r w:rsidR="00353CE2">
        <w:rPr>
          <w:b/>
          <w:bCs/>
          <w:color w:val="74758C"/>
          <w:sz w:val="18"/>
          <w:szCs w:val="18"/>
        </w:rPr>
        <w:t>; Corea del Sur será el mercado emisor de mayor crecimiento (</w:t>
      </w:r>
      <w:r w:rsidR="000B4695" w:rsidRPr="00483B1D">
        <w:rPr>
          <w:b/>
          <w:bCs/>
          <w:color w:val="74758C"/>
          <w:sz w:val="18"/>
          <w:szCs w:val="18"/>
        </w:rPr>
        <w:t>+</w:t>
      </w:r>
      <w:r w:rsidR="000B4695">
        <w:rPr>
          <w:b/>
          <w:bCs/>
          <w:color w:val="74758C"/>
          <w:sz w:val="18"/>
          <w:szCs w:val="18"/>
        </w:rPr>
        <w:t>15</w:t>
      </w:r>
      <w:r w:rsidR="00371A5F">
        <w:rPr>
          <w:b/>
          <w:bCs/>
          <w:color w:val="74758C"/>
          <w:sz w:val="18"/>
          <w:szCs w:val="18"/>
        </w:rPr>
        <w:t>3</w:t>
      </w:r>
      <w:r w:rsidR="000B4695" w:rsidRPr="00483B1D">
        <w:rPr>
          <w:b/>
          <w:bCs/>
          <w:color w:val="74758C"/>
          <w:sz w:val="18"/>
          <w:szCs w:val="18"/>
        </w:rPr>
        <w:t>%)</w:t>
      </w:r>
    </w:p>
    <w:p w14:paraId="732E44C2" w14:textId="77777777" w:rsidR="00C118EE" w:rsidRDefault="00C118EE">
      <w:pPr>
        <w:jc w:val="center"/>
        <w:rPr>
          <w:color w:val="74758C"/>
        </w:rPr>
      </w:pPr>
    </w:p>
    <w:p w14:paraId="5110CD0C" w14:textId="77777777" w:rsidR="00C118EE" w:rsidRDefault="00C118EE">
      <w:pPr>
        <w:jc w:val="both"/>
        <w:rPr>
          <w:color w:val="74758C"/>
        </w:rPr>
      </w:pPr>
    </w:p>
    <w:p w14:paraId="6ACDB4C7" w14:textId="1A235313" w:rsidR="00DF1B13" w:rsidRDefault="00DF1B13" w:rsidP="00DF1B13">
      <w:pPr>
        <w:spacing w:line="360" w:lineRule="auto"/>
        <w:jc w:val="both"/>
        <w:rPr>
          <w:color w:val="74758C"/>
          <w:sz w:val="20"/>
          <w:szCs w:val="20"/>
        </w:rPr>
      </w:pPr>
      <w:r w:rsidRPr="00DF1B13">
        <w:rPr>
          <w:color w:val="74758C"/>
          <w:sz w:val="20"/>
          <w:szCs w:val="20"/>
        </w:rPr>
        <w:t xml:space="preserve">El turismo europeo se transformará durante la próxima década con la llegada de nuevos viajeros, el auge de nuevos destinos y la evolución de los patrones de demanda, según un nuevo informe de </w:t>
      </w:r>
      <w:hyperlink r:id="rId7" w:history="1">
        <w:r w:rsidRPr="00DA59FA">
          <w:rPr>
            <w:rStyle w:val="Hipervnculo"/>
            <w:sz w:val="20"/>
            <w:szCs w:val="20"/>
          </w:rPr>
          <w:t>Accor</w:t>
        </w:r>
      </w:hyperlink>
      <w:r w:rsidRPr="00DF1B13">
        <w:rPr>
          <w:color w:val="74758C"/>
          <w:sz w:val="20"/>
          <w:szCs w:val="20"/>
        </w:rPr>
        <w:t>, grupo hotelero líder mundial.</w:t>
      </w:r>
    </w:p>
    <w:p w14:paraId="493297E1" w14:textId="77777777" w:rsidR="00DA59FA" w:rsidRPr="0035457B" w:rsidRDefault="00DA59FA" w:rsidP="00DF1B13">
      <w:pPr>
        <w:spacing w:line="360" w:lineRule="auto"/>
        <w:jc w:val="both"/>
        <w:rPr>
          <w:color w:val="74758C"/>
        </w:rPr>
      </w:pPr>
    </w:p>
    <w:p w14:paraId="709D209D" w14:textId="096FC330" w:rsidR="00DF1B13" w:rsidRPr="00DF1B13" w:rsidRDefault="00DF1B13" w:rsidP="00DF1B13">
      <w:pPr>
        <w:spacing w:line="360" w:lineRule="auto"/>
        <w:jc w:val="both"/>
        <w:rPr>
          <w:color w:val="74758C"/>
          <w:sz w:val="20"/>
          <w:szCs w:val="20"/>
        </w:rPr>
      </w:pPr>
      <w:r w:rsidRPr="00DF1B13">
        <w:rPr>
          <w:color w:val="74758C"/>
          <w:sz w:val="20"/>
          <w:szCs w:val="20"/>
        </w:rPr>
        <w:t xml:space="preserve">El informe¹, elaborado a partir de previsiones de </w:t>
      </w:r>
      <w:hyperlink r:id="rId8" w:history="1">
        <w:proofErr w:type="spellStart"/>
        <w:r w:rsidRPr="003713C8">
          <w:rPr>
            <w:rStyle w:val="Hipervnculo"/>
            <w:sz w:val="20"/>
            <w:szCs w:val="20"/>
          </w:rPr>
          <w:t>Tourism</w:t>
        </w:r>
        <w:proofErr w:type="spellEnd"/>
        <w:r w:rsidRPr="003713C8">
          <w:rPr>
            <w:rStyle w:val="Hipervnculo"/>
            <w:sz w:val="20"/>
            <w:szCs w:val="20"/>
          </w:rPr>
          <w:t xml:space="preserve"> </w:t>
        </w:r>
        <w:proofErr w:type="spellStart"/>
        <w:r w:rsidRPr="003713C8">
          <w:rPr>
            <w:rStyle w:val="Hipervnculo"/>
            <w:sz w:val="20"/>
            <w:szCs w:val="20"/>
          </w:rPr>
          <w:t>Economics</w:t>
        </w:r>
        <w:proofErr w:type="spellEnd"/>
      </w:hyperlink>
      <w:r w:rsidR="003713C8">
        <w:rPr>
          <w:color w:val="74758C"/>
          <w:sz w:val="20"/>
          <w:szCs w:val="20"/>
        </w:rPr>
        <w:t xml:space="preserve"> (Oxford </w:t>
      </w:r>
      <w:proofErr w:type="spellStart"/>
      <w:r w:rsidR="003713C8">
        <w:rPr>
          <w:color w:val="74758C"/>
          <w:sz w:val="20"/>
          <w:szCs w:val="20"/>
        </w:rPr>
        <w:t>Economics</w:t>
      </w:r>
      <w:proofErr w:type="spellEnd"/>
      <w:r w:rsidR="003713C8">
        <w:rPr>
          <w:color w:val="74758C"/>
          <w:sz w:val="20"/>
          <w:szCs w:val="20"/>
        </w:rPr>
        <w:t xml:space="preserve">) </w:t>
      </w:r>
      <w:r w:rsidRPr="00DF1B13">
        <w:rPr>
          <w:color w:val="74758C"/>
          <w:sz w:val="20"/>
          <w:szCs w:val="20"/>
        </w:rPr>
        <w:t>encargadas por Accor, estima que la demanda de alojamiento turístico en Europa crecerá un 32% en los próximos diez años, lo que supondrá más de 1.600 millones de pernoctaciones adicionales al año.</w:t>
      </w:r>
    </w:p>
    <w:p w14:paraId="1A465F62" w14:textId="77777777" w:rsidR="00B75A0C" w:rsidRDefault="00B75A0C" w:rsidP="00DF1B13">
      <w:pPr>
        <w:spacing w:line="360" w:lineRule="auto"/>
        <w:jc w:val="both"/>
        <w:rPr>
          <w:color w:val="74758C"/>
          <w:sz w:val="20"/>
          <w:szCs w:val="20"/>
        </w:rPr>
      </w:pPr>
    </w:p>
    <w:p w14:paraId="56F91DA5" w14:textId="4131458F" w:rsidR="00DF1B13" w:rsidRDefault="00DF1B13" w:rsidP="00DF1B13">
      <w:pPr>
        <w:spacing w:line="360" w:lineRule="auto"/>
        <w:jc w:val="both"/>
        <w:rPr>
          <w:color w:val="74758C"/>
          <w:sz w:val="20"/>
          <w:szCs w:val="20"/>
        </w:rPr>
      </w:pPr>
      <w:r w:rsidRPr="00DF1B13">
        <w:rPr>
          <w:color w:val="74758C"/>
          <w:sz w:val="20"/>
          <w:szCs w:val="20"/>
        </w:rPr>
        <w:lastRenderedPageBreak/>
        <w:t>El turismo internacional impulsará este crecimiento. Las pernoctaciones internacionales aumentarán un 42% entre 2026 y 2036, frente al 24% de crecimiento previsto para los viajes nacionales, lo que generará aproximadamente mil millones de pernoctaciones internacionales adicionales al año en Europa.</w:t>
      </w:r>
    </w:p>
    <w:p w14:paraId="4BA41C58" w14:textId="77777777" w:rsidR="002F2753" w:rsidRPr="0035457B" w:rsidRDefault="002F2753" w:rsidP="00DF1B13">
      <w:pPr>
        <w:spacing w:line="360" w:lineRule="auto"/>
        <w:jc w:val="both"/>
        <w:rPr>
          <w:color w:val="74758C"/>
        </w:rPr>
      </w:pPr>
    </w:p>
    <w:p w14:paraId="439C5F6E" w14:textId="77777777" w:rsidR="002F2753" w:rsidRDefault="00DF1B13" w:rsidP="00DF1B13">
      <w:pPr>
        <w:spacing w:line="360" w:lineRule="auto"/>
        <w:jc w:val="both"/>
        <w:rPr>
          <w:color w:val="74758C"/>
          <w:sz w:val="20"/>
          <w:szCs w:val="20"/>
        </w:rPr>
      </w:pPr>
      <w:r w:rsidRPr="00DF1B13">
        <w:rPr>
          <w:color w:val="74758C"/>
          <w:sz w:val="20"/>
          <w:szCs w:val="20"/>
        </w:rPr>
        <w:t>El informe señala que el aumento de la prosperidad mundial, la mayor movilidad internacional, la mejora de la conectividad y la inversión continuada en infraestructuras turísticas están contribuyendo a atraer a más viajeros internacionales a destinos de todo el continente, más allá de los enclaves turísticos tradicionales.</w:t>
      </w:r>
    </w:p>
    <w:p w14:paraId="4C90D4BE" w14:textId="77777777" w:rsidR="00C118EE" w:rsidRPr="0035457B" w:rsidRDefault="00C118EE">
      <w:pPr>
        <w:spacing w:line="360" w:lineRule="auto"/>
        <w:jc w:val="both"/>
        <w:rPr>
          <w:color w:val="74758C"/>
        </w:rPr>
      </w:pPr>
    </w:p>
    <w:p w14:paraId="7A1EF4B3" w14:textId="0643B891" w:rsidR="00C118EE" w:rsidRPr="00B32607" w:rsidRDefault="00E439C1">
      <w:pPr>
        <w:spacing w:line="360" w:lineRule="auto"/>
        <w:jc w:val="both"/>
        <w:rPr>
          <w:color w:val="74758C"/>
          <w:sz w:val="20"/>
          <w:szCs w:val="20"/>
        </w:rPr>
      </w:pPr>
      <w:r>
        <w:rPr>
          <w:b/>
          <w:bCs/>
          <w:color w:val="74758C"/>
          <w:sz w:val="20"/>
          <w:szCs w:val="20"/>
        </w:rPr>
        <w:t>Asia, Oriente Medio y Europa Central y Oriental</w:t>
      </w:r>
      <w:r w:rsidR="008579E8">
        <w:rPr>
          <w:b/>
          <w:bCs/>
          <w:color w:val="74758C"/>
          <w:sz w:val="20"/>
          <w:szCs w:val="20"/>
        </w:rPr>
        <w:t xml:space="preserve">, entre los mercados emisores de mayor crecimiento </w:t>
      </w:r>
    </w:p>
    <w:p w14:paraId="5529AAD6" w14:textId="62264F6F" w:rsidR="0068380C" w:rsidRDefault="0068380C" w:rsidP="0068380C">
      <w:pPr>
        <w:spacing w:line="360" w:lineRule="auto"/>
        <w:jc w:val="both"/>
        <w:rPr>
          <w:color w:val="74758C"/>
          <w:sz w:val="20"/>
          <w:szCs w:val="20"/>
        </w:rPr>
      </w:pPr>
      <w:r w:rsidRPr="0068380C">
        <w:rPr>
          <w:color w:val="74758C"/>
          <w:sz w:val="20"/>
          <w:szCs w:val="20"/>
        </w:rPr>
        <w:t>El turismo europeo seguirá apoyándose en los viajes dentro del propio continente: en 2036, más de tres cuartas partes de las llegadas internacionales (77%) procederán de otros países europeos.</w:t>
      </w:r>
    </w:p>
    <w:p w14:paraId="1EF70BAA" w14:textId="77777777" w:rsidR="0068380C" w:rsidRPr="0035457B" w:rsidRDefault="0068380C" w:rsidP="0068380C">
      <w:pPr>
        <w:spacing w:line="360" w:lineRule="auto"/>
        <w:jc w:val="both"/>
        <w:rPr>
          <w:color w:val="74758C"/>
        </w:rPr>
      </w:pPr>
    </w:p>
    <w:p w14:paraId="3A8BB839" w14:textId="77777777" w:rsidR="0068380C" w:rsidRDefault="0068380C" w:rsidP="0068380C">
      <w:pPr>
        <w:spacing w:line="360" w:lineRule="auto"/>
        <w:jc w:val="both"/>
        <w:rPr>
          <w:color w:val="74758C"/>
          <w:sz w:val="20"/>
          <w:szCs w:val="20"/>
        </w:rPr>
      </w:pPr>
      <w:r w:rsidRPr="0068380C">
        <w:rPr>
          <w:color w:val="74758C"/>
          <w:sz w:val="20"/>
          <w:szCs w:val="20"/>
        </w:rPr>
        <w:t>No obstante, el informe destaca el rápido crecimiento de los mercados emisores europeos emergentes. Se prevé que las llegadas procedentes de estos países aumenten un 52% durante la próxima década, frente al 34% de crecimiento de los mercados de Europa occidental. Georgia (+123%), Moldavia (+107%) y Armenia (+76%) figuran entre los mercados de mayor crecimiento.</w:t>
      </w:r>
    </w:p>
    <w:p w14:paraId="39602EF5" w14:textId="77777777" w:rsidR="001B25C9" w:rsidRPr="0035457B" w:rsidRDefault="001B25C9" w:rsidP="0068380C">
      <w:pPr>
        <w:spacing w:line="360" w:lineRule="auto"/>
        <w:jc w:val="both"/>
        <w:rPr>
          <w:color w:val="74758C"/>
        </w:rPr>
      </w:pPr>
    </w:p>
    <w:p w14:paraId="109E6C85" w14:textId="434DFA8A" w:rsidR="00C118EE" w:rsidRDefault="0068380C" w:rsidP="0068380C">
      <w:pPr>
        <w:spacing w:line="360" w:lineRule="auto"/>
        <w:jc w:val="both"/>
        <w:rPr>
          <w:color w:val="74758C"/>
          <w:sz w:val="20"/>
          <w:szCs w:val="20"/>
        </w:rPr>
      </w:pPr>
      <w:r w:rsidRPr="0068380C">
        <w:rPr>
          <w:color w:val="74758C"/>
          <w:sz w:val="20"/>
          <w:szCs w:val="20"/>
        </w:rPr>
        <w:t>También crecerá significativamente la demanda de larga distancia. Se prevé que las llegadas desde Oriente Medio aumenten un 93% y las de Asia-Pacífico un 88% en los próximos diez años. Entre los principales mercados emisores no europeos, China (+138%) y Corea del Sur (+121%) registrarán un crecimiento destacado.</w:t>
      </w:r>
    </w:p>
    <w:p w14:paraId="015C0C3C" w14:textId="77777777" w:rsidR="00B75A0C" w:rsidRPr="00B75A0C" w:rsidRDefault="00B75A0C" w:rsidP="0068380C">
      <w:pPr>
        <w:spacing w:line="360" w:lineRule="auto"/>
        <w:jc w:val="both"/>
        <w:rPr>
          <w:color w:val="74758C"/>
        </w:rPr>
      </w:pPr>
    </w:p>
    <w:p w14:paraId="3BD02F9C" w14:textId="77777777" w:rsidR="00B75A0C" w:rsidRDefault="001B25C9" w:rsidP="00D23A88">
      <w:pPr>
        <w:spacing w:line="360" w:lineRule="auto"/>
        <w:jc w:val="both"/>
        <w:rPr>
          <w:color w:val="74758C"/>
          <w:sz w:val="20"/>
          <w:szCs w:val="20"/>
        </w:rPr>
      </w:pPr>
      <w:r>
        <w:rPr>
          <w:b/>
          <w:bCs/>
          <w:color w:val="74758C"/>
          <w:sz w:val="20"/>
          <w:szCs w:val="20"/>
        </w:rPr>
        <w:t>El crecimiento irá más allá de los destinos turísticos tradicionales</w:t>
      </w:r>
    </w:p>
    <w:p w14:paraId="5D5C392E" w14:textId="3A3C7137" w:rsidR="00D23A88" w:rsidRDefault="00D23A88" w:rsidP="00B75A0C">
      <w:pPr>
        <w:spacing w:line="360" w:lineRule="auto"/>
        <w:jc w:val="both"/>
        <w:rPr>
          <w:color w:val="74758C"/>
          <w:sz w:val="20"/>
          <w:szCs w:val="20"/>
        </w:rPr>
      </w:pPr>
      <w:r w:rsidRPr="00D23A88">
        <w:rPr>
          <w:color w:val="74758C"/>
          <w:sz w:val="20"/>
          <w:szCs w:val="20"/>
        </w:rPr>
        <w:t>Aunque destinos consolidados como España, Francia y Reino Unido seguirán siendo referentes del turismo europeo</w:t>
      </w:r>
      <w:r w:rsidR="003255A9">
        <w:rPr>
          <w:color w:val="74758C"/>
          <w:sz w:val="20"/>
          <w:szCs w:val="20"/>
        </w:rPr>
        <w:t xml:space="preserve">, </w:t>
      </w:r>
      <w:r w:rsidRPr="00D23A88">
        <w:rPr>
          <w:color w:val="74758C"/>
          <w:sz w:val="20"/>
          <w:szCs w:val="20"/>
        </w:rPr>
        <w:t>algunas de las mayores tasas de crecimiento se registrarán fuera de los destinos turísticos tradicionales.</w:t>
      </w:r>
    </w:p>
    <w:p w14:paraId="30832945" w14:textId="77777777" w:rsidR="003255A9" w:rsidRPr="00D23A88" w:rsidRDefault="003255A9" w:rsidP="00D23A88">
      <w:pPr>
        <w:spacing w:line="360" w:lineRule="auto"/>
        <w:jc w:val="both"/>
        <w:rPr>
          <w:color w:val="74758C"/>
          <w:sz w:val="20"/>
          <w:szCs w:val="20"/>
        </w:rPr>
      </w:pPr>
    </w:p>
    <w:p w14:paraId="360A7C18" w14:textId="77777777" w:rsidR="00D23A88" w:rsidRDefault="00D23A88" w:rsidP="00D23A88">
      <w:pPr>
        <w:spacing w:line="360" w:lineRule="auto"/>
        <w:jc w:val="both"/>
        <w:rPr>
          <w:color w:val="74758C"/>
          <w:sz w:val="20"/>
          <w:szCs w:val="20"/>
        </w:rPr>
      </w:pPr>
      <w:r w:rsidRPr="00D23A88">
        <w:rPr>
          <w:color w:val="74758C"/>
          <w:sz w:val="20"/>
          <w:szCs w:val="20"/>
        </w:rPr>
        <w:t>Se prevé que países de Europa Central y Oriental, los países bálticos y algunas zonas de los Balcanes superen ampliamente la media europea en crecimiento del turismo internacional. La mejora de la conectividad y el interés de los viajeros por nuevas experiencias a precios asequibles están creando oportunidades para inversores, promotores y propietarios hoteleros en mercados que se encuentran en fases más tempranas de desarrollo turístico.</w:t>
      </w:r>
    </w:p>
    <w:p w14:paraId="66C87947" w14:textId="77777777" w:rsidR="003255A9" w:rsidRPr="00B75A0C" w:rsidRDefault="003255A9" w:rsidP="00D23A88">
      <w:pPr>
        <w:spacing w:line="360" w:lineRule="auto"/>
        <w:jc w:val="both"/>
        <w:rPr>
          <w:color w:val="74758C"/>
        </w:rPr>
      </w:pPr>
    </w:p>
    <w:p w14:paraId="12EC2B71" w14:textId="41BF9B62" w:rsidR="00C118EE" w:rsidRDefault="004630CE">
      <w:pPr>
        <w:spacing w:line="360" w:lineRule="auto"/>
        <w:jc w:val="both"/>
        <w:rPr>
          <w:color w:val="74758C"/>
          <w:sz w:val="20"/>
          <w:szCs w:val="20"/>
        </w:rPr>
      </w:pPr>
      <w:r w:rsidRPr="004630CE">
        <w:rPr>
          <w:b/>
          <w:bCs/>
          <w:color w:val="74758C"/>
          <w:sz w:val="20"/>
          <w:szCs w:val="20"/>
        </w:rPr>
        <w:t>España</w:t>
      </w:r>
      <w:r w:rsidRPr="004630CE">
        <w:rPr>
          <w:color w:val="74758C"/>
          <w:sz w:val="20"/>
          <w:szCs w:val="20"/>
        </w:rPr>
        <w:t xml:space="preserve"> </w:t>
      </w:r>
      <w:r w:rsidR="00E95656">
        <w:rPr>
          <w:color w:val="74758C"/>
          <w:sz w:val="20"/>
          <w:szCs w:val="20"/>
        </w:rPr>
        <w:t>seguirá siendo uno de los mercados turísticos</w:t>
      </w:r>
      <w:r w:rsidR="00602041">
        <w:rPr>
          <w:color w:val="74758C"/>
          <w:sz w:val="20"/>
          <w:szCs w:val="20"/>
        </w:rPr>
        <w:t xml:space="preserve"> de referencia en Europa. En este contexto, la demanda de alojamiento</w:t>
      </w:r>
      <w:r w:rsidRPr="004630CE">
        <w:rPr>
          <w:color w:val="74758C"/>
          <w:sz w:val="20"/>
          <w:szCs w:val="20"/>
        </w:rPr>
        <w:t xml:space="preserve"> </w:t>
      </w:r>
      <w:r w:rsidR="00E14960">
        <w:rPr>
          <w:color w:val="74758C"/>
          <w:sz w:val="20"/>
          <w:szCs w:val="20"/>
        </w:rPr>
        <w:t>crecerá</w:t>
      </w:r>
      <w:r w:rsidRPr="004630CE">
        <w:rPr>
          <w:color w:val="74758C"/>
          <w:sz w:val="20"/>
          <w:szCs w:val="20"/>
        </w:rPr>
        <w:t xml:space="preserve"> un 35%</w:t>
      </w:r>
      <w:r w:rsidR="00E14960">
        <w:rPr>
          <w:color w:val="74758C"/>
          <w:sz w:val="20"/>
          <w:szCs w:val="20"/>
        </w:rPr>
        <w:t xml:space="preserve"> hasta</w:t>
      </w:r>
      <w:r w:rsidR="00942F80">
        <w:rPr>
          <w:color w:val="74758C"/>
          <w:sz w:val="20"/>
          <w:szCs w:val="20"/>
        </w:rPr>
        <w:t xml:space="preserve"> 2036, por encima de la media europea (32%)</w:t>
      </w:r>
      <w:r w:rsidR="00FD77DD">
        <w:rPr>
          <w:color w:val="74758C"/>
          <w:sz w:val="20"/>
          <w:szCs w:val="20"/>
        </w:rPr>
        <w:t xml:space="preserve">, mientras que </w:t>
      </w:r>
      <w:r w:rsidRPr="004630CE">
        <w:rPr>
          <w:color w:val="74758C"/>
          <w:sz w:val="20"/>
          <w:szCs w:val="20"/>
        </w:rPr>
        <w:t xml:space="preserve">el gasto total de los turistas internacionales crecerá un 50%. Corea del Sur </w:t>
      </w:r>
      <w:r w:rsidR="00BE3BDE">
        <w:rPr>
          <w:color w:val="74758C"/>
          <w:sz w:val="20"/>
          <w:szCs w:val="20"/>
        </w:rPr>
        <w:t>destaca como uno de los mercados</w:t>
      </w:r>
      <w:r w:rsidRPr="004630CE">
        <w:rPr>
          <w:color w:val="74758C"/>
          <w:sz w:val="20"/>
          <w:szCs w:val="20"/>
        </w:rPr>
        <w:t xml:space="preserve"> </w:t>
      </w:r>
      <w:r w:rsidR="00B43714">
        <w:rPr>
          <w:color w:val="74758C"/>
          <w:sz w:val="20"/>
          <w:szCs w:val="20"/>
        </w:rPr>
        <w:t>emisores</w:t>
      </w:r>
      <w:r w:rsidRPr="004630CE">
        <w:rPr>
          <w:color w:val="74758C"/>
          <w:sz w:val="20"/>
          <w:szCs w:val="20"/>
        </w:rPr>
        <w:t xml:space="preserve"> </w:t>
      </w:r>
      <w:r w:rsidR="00B43714">
        <w:rPr>
          <w:color w:val="74758C"/>
          <w:sz w:val="20"/>
          <w:szCs w:val="20"/>
        </w:rPr>
        <w:t>con</w:t>
      </w:r>
      <w:r w:rsidRPr="004630CE">
        <w:rPr>
          <w:color w:val="74758C"/>
          <w:sz w:val="20"/>
          <w:szCs w:val="20"/>
        </w:rPr>
        <w:t xml:space="preserve"> mayor </w:t>
      </w:r>
      <w:r w:rsidR="00B43714">
        <w:rPr>
          <w:color w:val="74758C"/>
          <w:sz w:val="20"/>
          <w:szCs w:val="20"/>
        </w:rPr>
        <w:t xml:space="preserve">potencial de </w:t>
      </w:r>
      <w:r w:rsidRPr="004630CE">
        <w:rPr>
          <w:color w:val="74758C"/>
          <w:sz w:val="20"/>
          <w:szCs w:val="20"/>
        </w:rPr>
        <w:t>crecimiento hacia España</w:t>
      </w:r>
      <w:r w:rsidR="00C044F1">
        <w:rPr>
          <w:color w:val="74758C"/>
          <w:sz w:val="20"/>
          <w:szCs w:val="20"/>
        </w:rPr>
        <w:t>, con un incremento previsto del 153%.</w:t>
      </w:r>
      <w:r w:rsidRPr="004630CE">
        <w:rPr>
          <w:color w:val="74758C"/>
          <w:sz w:val="20"/>
          <w:szCs w:val="20"/>
        </w:rPr>
        <w:t xml:space="preserve"> </w:t>
      </w:r>
    </w:p>
    <w:p w14:paraId="140D19E2" w14:textId="77777777" w:rsidR="000708A6" w:rsidRPr="00B75A0C" w:rsidRDefault="000708A6">
      <w:pPr>
        <w:spacing w:line="360" w:lineRule="auto"/>
        <w:jc w:val="both"/>
        <w:rPr>
          <w:color w:val="74758C"/>
        </w:rPr>
      </w:pPr>
    </w:p>
    <w:p w14:paraId="094B5C81" w14:textId="337AAFA0" w:rsidR="00C118EE" w:rsidRPr="00B32607" w:rsidRDefault="00EF61F3">
      <w:pPr>
        <w:spacing w:line="360" w:lineRule="auto"/>
        <w:jc w:val="both"/>
        <w:rPr>
          <w:color w:val="74758C"/>
          <w:sz w:val="20"/>
          <w:szCs w:val="20"/>
        </w:rPr>
      </w:pPr>
      <w:r>
        <w:rPr>
          <w:b/>
          <w:bCs/>
          <w:color w:val="74758C"/>
          <w:sz w:val="20"/>
          <w:szCs w:val="20"/>
        </w:rPr>
        <w:t xml:space="preserve">La </w:t>
      </w:r>
      <w:proofErr w:type="gramStart"/>
      <w:r>
        <w:rPr>
          <w:b/>
          <w:bCs/>
          <w:color w:val="74758C"/>
          <w:sz w:val="20"/>
          <w:szCs w:val="20"/>
        </w:rPr>
        <w:t>hotelería económica</w:t>
      </w:r>
      <w:proofErr w:type="gramEnd"/>
      <w:r>
        <w:rPr>
          <w:b/>
          <w:bCs/>
          <w:color w:val="74758C"/>
          <w:sz w:val="20"/>
          <w:szCs w:val="20"/>
        </w:rPr>
        <w:t>, ante una oportunidad de crecimiento</w:t>
      </w:r>
    </w:p>
    <w:p w14:paraId="0F5870CA" w14:textId="6A56E239" w:rsidR="000E278C" w:rsidRDefault="000E278C" w:rsidP="000E278C">
      <w:pPr>
        <w:spacing w:line="360" w:lineRule="auto"/>
        <w:jc w:val="both"/>
        <w:rPr>
          <w:color w:val="74758C"/>
          <w:sz w:val="20"/>
          <w:szCs w:val="20"/>
        </w:rPr>
      </w:pPr>
      <w:r w:rsidRPr="000E278C">
        <w:rPr>
          <w:color w:val="74758C"/>
          <w:sz w:val="20"/>
          <w:szCs w:val="20"/>
        </w:rPr>
        <w:t xml:space="preserve">El informe identifica una oportunidad significativa para la </w:t>
      </w:r>
      <w:proofErr w:type="gramStart"/>
      <w:r w:rsidRPr="000E278C">
        <w:rPr>
          <w:color w:val="74758C"/>
          <w:sz w:val="20"/>
          <w:szCs w:val="20"/>
        </w:rPr>
        <w:t>hotelería</w:t>
      </w:r>
      <w:r w:rsidR="008D2326">
        <w:rPr>
          <w:color w:val="74758C"/>
          <w:sz w:val="20"/>
          <w:szCs w:val="20"/>
        </w:rPr>
        <w:t xml:space="preserve"> </w:t>
      </w:r>
      <w:r w:rsidRPr="000E278C">
        <w:rPr>
          <w:color w:val="74758C"/>
          <w:sz w:val="20"/>
          <w:szCs w:val="20"/>
        </w:rPr>
        <w:t>económica</w:t>
      </w:r>
      <w:proofErr w:type="gramEnd"/>
      <w:r w:rsidRPr="000E278C">
        <w:rPr>
          <w:color w:val="74758C"/>
          <w:sz w:val="20"/>
          <w:szCs w:val="20"/>
        </w:rPr>
        <w:t xml:space="preserve"> a medida que los viajes internacionales se hacen accesibles a un grupo más amplio y diverso de consumidores. Muchos de estos nuevos viajeros, tanto los visitantes de larga distancia procedentes de mercados de rápido crecimiento como China e India como los procedentes de economías europeas emergentes con mayores ingresos y mejor conectividad, recurren a marcas económicas de confianza cuando se desplazan por ciudades, idiomas y entornos de reserva que no conocen.</w:t>
      </w:r>
    </w:p>
    <w:p w14:paraId="391989A3" w14:textId="77777777" w:rsidR="000E278C" w:rsidRPr="00992AB3" w:rsidRDefault="000E278C" w:rsidP="000E278C">
      <w:pPr>
        <w:spacing w:line="360" w:lineRule="auto"/>
        <w:jc w:val="both"/>
        <w:rPr>
          <w:color w:val="74758C"/>
        </w:rPr>
      </w:pPr>
    </w:p>
    <w:p w14:paraId="4EEBA8A2" w14:textId="5CCEF423" w:rsidR="000E278C" w:rsidRPr="000E278C" w:rsidRDefault="000E278C" w:rsidP="000E278C">
      <w:pPr>
        <w:spacing w:line="360" w:lineRule="auto"/>
        <w:jc w:val="both"/>
        <w:rPr>
          <w:color w:val="74758C"/>
          <w:sz w:val="20"/>
          <w:szCs w:val="20"/>
        </w:rPr>
      </w:pPr>
      <w:r>
        <w:rPr>
          <w:color w:val="74758C"/>
          <w:sz w:val="20"/>
          <w:szCs w:val="20"/>
        </w:rPr>
        <w:t>Cristina Ramos</w:t>
      </w:r>
      <w:r w:rsidR="00652BC7">
        <w:rPr>
          <w:color w:val="74758C"/>
          <w:sz w:val="20"/>
          <w:szCs w:val="20"/>
        </w:rPr>
        <w:t>,</w:t>
      </w:r>
      <w:r w:rsidRPr="000E278C">
        <w:rPr>
          <w:color w:val="74758C"/>
          <w:sz w:val="20"/>
          <w:szCs w:val="20"/>
        </w:rPr>
        <w:t xml:space="preserve"> </w:t>
      </w:r>
      <w:r w:rsidR="00564E2F" w:rsidRPr="00564E2F">
        <w:rPr>
          <w:color w:val="74758C"/>
          <w:sz w:val="20"/>
          <w:szCs w:val="20"/>
        </w:rPr>
        <w:t xml:space="preserve">Portavoz </w:t>
      </w:r>
      <w:r w:rsidRPr="00564E2F">
        <w:rPr>
          <w:color w:val="74758C"/>
          <w:sz w:val="20"/>
          <w:szCs w:val="20"/>
        </w:rPr>
        <w:t xml:space="preserve">de Accor </w:t>
      </w:r>
      <w:r w:rsidR="00564E2F" w:rsidRPr="00564E2F">
        <w:rPr>
          <w:color w:val="74758C"/>
          <w:sz w:val="20"/>
          <w:szCs w:val="20"/>
        </w:rPr>
        <w:t xml:space="preserve">en </w:t>
      </w:r>
      <w:r w:rsidRPr="00564E2F">
        <w:rPr>
          <w:color w:val="74758C"/>
          <w:sz w:val="20"/>
          <w:szCs w:val="20"/>
        </w:rPr>
        <w:t>España</w:t>
      </w:r>
      <w:r w:rsidRPr="000E278C">
        <w:rPr>
          <w:color w:val="74758C"/>
          <w:sz w:val="20"/>
          <w:szCs w:val="20"/>
        </w:rPr>
        <w:t xml:space="preserve">, señala: </w:t>
      </w:r>
      <w:r w:rsidR="00573678">
        <w:rPr>
          <w:color w:val="74758C"/>
          <w:sz w:val="20"/>
          <w:szCs w:val="20"/>
        </w:rPr>
        <w:t>“</w:t>
      </w:r>
      <w:r w:rsidRPr="000E278C">
        <w:rPr>
          <w:color w:val="74758C"/>
          <w:sz w:val="20"/>
          <w:szCs w:val="20"/>
        </w:rPr>
        <w:t>Europa sigue siendo el destino más atractivo del mundo gracias a su extraordinaria diversidad</w:t>
      </w:r>
      <w:r w:rsidR="00C2326A">
        <w:rPr>
          <w:color w:val="74758C"/>
          <w:sz w:val="20"/>
          <w:szCs w:val="20"/>
        </w:rPr>
        <w:t>, y España</w:t>
      </w:r>
      <w:r w:rsidR="0041441B">
        <w:rPr>
          <w:color w:val="74758C"/>
          <w:sz w:val="20"/>
          <w:szCs w:val="20"/>
        </w:rPr>
        <w:t xml:space="preserve"> desempeñará</w:t>
      </w:r>
      <w:r w:rsidR="003B342E">
        <w:rPr>
          <w:color w:val="74758C"/>
          <w:sz w:val="20"/>
          <w:szCs w:val="20"/>
        </w:rPr>
        <w:t xml:space="preserve"> un papel protagonista en esta evolución.</w:t>
      </w:r>
      <w:r w:rsidRPr="000E278C">
        <w:rPr>
          <w:color w:val="74758C"/>
          <w:sz w:val="20"/>
          <w:szCs w:val="20"/>
        </w:rPr>
        <w:t xml:space="preserve"> </w:t>
      </w:r>
      <w:r w:rsidR="00C55DB8">
        <w:rPr>
          <w:color w:val="74758C"/>
          <w:sz w:val="20"/>
          <w:szCs w:val="20"/>
        </w:rPr>
        <w:t>Las previsiones confirman</w:t>
      </w:r>
      <w:r w:rsidR="005A0F10">
        <w:rPr>
          <w:color w:val="74758C"/>
          <w:sz w:val="20"/>
          <w:szCs w:val="20"/>
        </w:rPr>
        <w:t xml:space="preserve"> la fortaleza de nuestro país como destino turístico, pero también apuntan a una transformación en la demanda</w:t>
      </w:r>
      <w:r w:rsidR="006A443A">
        <w:rPr>
          <w:color w:val="74758C"/>
          <w:sz w:val="20"/>
          <w:szCs w:val="20"/>
        </w:rPr>
        <w:t>, con nuevos mercados emisores, viajeros que buscan experiencias diferentes</w:t>
      </w:r>
      <w:r w:rsidR="009020CA">
        <w:rPr>
          <w:color w:val="74758C"/>
          <w:sz w:val="20"/>
          <w:szCs w:val="20"/>
        </w:rPr>
        <w:t xml:space="preserve"> y un crecimiento de los viajes internacionales</w:t>
      </w:r>
      <w:r w:rsidR="00573678">
        <w:rPr>
          <w:color w:val="74758C"/>
          <w:sz w:val="20"/>
          <w:szCs w:val="20"/>
        </w:rPr>
        <w:t>.”</w:t>
      </w:r>
    </w:p>
    <w:p w14:paraId="177DAF55" w14:textId="77777777" w:rsidR="00992AB3" w:rsidRDefault="00573678" w:rsidP="000E278C">
      <w:pPr>
        <w:spacing w:line="360" w:lineRule="auto"/>
        <w:jc w:val="both"/>
        <w:rPr>
          <w:color w:val="74758C"/>
          <w:sz w:val="20"/>
          <w:szCs w:val="20"/>
        </w:rPr>
      </w:pPr>
      <w:r>
        <w:rPr>
          <w:color w:val="74758C"/>
          <w:sz w:val="20"/>
          <w:szCs w:val="20"/>
        </w:rPr>
        <w:lastRenderedPageBreak/>
        <w:t>“</w:t>
      </w:r>
      <w:r w:rsidR="009020CA">
        <w:rPr>
          <w:color w:val="74758C"/>
          <w:sz w:val="20"/>
          <w:szCs w:val="20"/>
        </w:rPr>
        <w:t>Para el sector hotelero español, el reto y la op</w:t>
      </w:r>
      <w:r w:rsidR="00B01D2C">
        <w:rPr>
          <w:color w:val="74758C"/>
          <w:sz w:val="20"/>
          <w:szCs w:val="20"/>
        </w:rPr>
        <w:t>ortunidad estarán en anticiparse a los cambios, seguir ofreciendo experiencias de calidad</w:t>
      </w:r>
      <w:r w:rsidR="00CC6445">
        <w:rPr>
          <w:color w:val="74758C"/>
          <w:sz w:val="20"/>
          <w:szCs w:val="20"/>
        </w:rPr>
        <w:t>, adaptarse a las expectativas de los nuevos viajeros y aprovechar el potencial de mercados emergentes. Aquellos</w:t>
      </w:r>
    </w:p>
    <w:p w14:paraId="2B287B29" w14:textId="162B558D" w:rsidR="00C118EE" w:rsidRPr="00B32607" w:rsidRDefault="00CC6445" w:rsidP="000E278C">
      <w:pPr>
        <w:spacing w:line="360" w:lineRule="auto"/>
        <w:jc w:val="both"/>
        <w:rPr>
          <w:color w:val="74758C"/>
          <w:sz w:val="20"/>
          <w:szCs w:val="20"/>
        </w:rPr>
      </w:pPr>
      <w:r>
        <w:rPr>
          <w:color w:val="74758C"/>
          <w:sz w:val="20"/>
          <w:szCs w:val="20"/>
        </w:rPr>
        <w:t>que sepan evolucionar</w:t>
      </w:r>
      <w:r w:rsidR="00B17171">
        <w:rPr>
          <w:color w:val="74758C"/>
          <w:sz w:val="20"/>
          <w:szCs w:val="20"/>
        </w:rPr>
        <w:t xml:space="preserve"> con la demanda estarán mejor posicionados para impulsar</w:t>
      </w:r>
      <w:r w:rsidR="00B9646D">
        <w:rPr>
          <w:color w:val="74758C"/>
          <w:sz w:val="20"/>
          <w:szCs w:val="20"/>
        </w:rPr>
        <w:t xml:space="preserve"> un crecimiento sostenible y reforzar la competitividad de España como destino turístico</w:t>
      </w:r>
      <w:r w:rsidR="00573678">
        <w:rPr>
          <w:color w:val="74758C"/>
          <w:sz w:val="20"/>
          <w:szCs w:val="20"/>
        </w:rPr>
        <w:t>.”</w:t>
      </w:r>
    </w:p>
    <w:p w14:paraId="4B099382" w14:textId="77777777" w:rsidR="00C118EE" w:rsidRPr="00B32607" w:rsidRDefault="00C118EE">
      <w:pPr>
        <w:spacing w:line="360" w:lineRule="auto"/>
        <w:jc w:val="both"/>
        <w:rPr>
          <w:color w:val="74758C"/>
          <w:sz w:val="20"/>
          <w:szCs w:val="20"/>
        </w:rPr>
      </w:pPr>
    </w:p>
    <w:p w14:paraId="5D57D39F" w14:textId="2320731E" w:rsidR="00C118EE" w:rsidRPr="00947D8E" w:rsidRDefault="00947D8E" w:rsidP="00947D8E">
      <w:pPr>
        <w:spacing w:line="360" w:lineRule="auto"/>
        <w:jc w:val="both"/>
        <w:rPr>
          <w:color w:val="74758C"/>
          <w:sz w:val="20"/>
          <w:szCs w:val="20"/>
        </w:rPr>
      </w:pPr>
      <w:r>
        <w:rPr>
          <w:b/>
          <w:bCs/>
          <w:color w:val="74758C"/>
          <w:sz w:val="20"/>
          <w:szCs w:val="20"/>
        </w:rPr>
        <w:t>Otras conclusiones del informe</w:t>
      </w:r>
    </w:p>
    <w:p w14:paraId="7BAA627E" w14:textId="4851B803" w:rsidR="00C118EE" w:rsidRPr="00992AB3" w:rsidRDefault="0014712B" w:rsidP="00457047">
      <w:pPr>
        <w:numPr>
          <w:ilvl w:val="0"/>
          <w:numId w:val="1"/>
        </w:numPr>
        <w:pBdr>
          <w:top w:val="nil"/>
          <w:left w:val="nil"/>
          <w:bottom w:val="nil"/>
          <w:right w:val="nil"/>
          <w:between w:val="nil"/>
        </w:pBdr>
        <w:ind w:left="90" w:hanging="359"/>
        <w:jc w:val="both"/>
        <w:rPr>
          <w:color w:val="74758C"/>
          <w:sz w:val="18"/>
          <w:szCs w:val="18"/>
        </w:rPr>
      </w:pPr>
      <w:r w:rsidRPr="00992AB3">
        <w:rPr>
          <w:color w:val="74758C"/>
          <w:sz w:val="18"/>
          <w:szCs w:val="18"/>
        </w:rPr>
        <w:t xml:space="preserve">El gasto de los turistas internacionales en Europa </w:t>
      </w:r>
      <w:r w:rsidR="00FC4BF4" w:rsidRPr="00992AB3">
        <w:rPr>
          <w:color w:val="74758C"/>
          <w:sz w:val="18"/>
          <w:szCs w:val="18"/>
        </w:rPr>
        <w:t xml:space="preserve">aumentará de </w:t>
      </w:r>
      <w:r w:rsidRPr="00992AB3">
        <w:rPr>
          <w:color w:val="74758C"/>
          <w:sz w:val="18"/>
          <w:szCs w:val="18"/>
        </w:rPr>
        <w:t>825.000 millones de euros en 2026 a más de 1,3 billones en 2036 (+64%).</w:t>
      </w:r>
      <w:r w:rsidR="00FC4BF4" w:rsidRPr="00992AB3">
        <w:rPr>
          <w:color w:val="74758C"/>
          <w:sz w:val="18"/>
          <w:szCs w:val="18"/>
        </w:rPr>
        <w:t xml:space="preserve"> El gasto en restauración crecerá un 72%</w:t>
      </w:r>
      <w:r w:rsidR="00DF1496" w:rsidRPr="00992AB3">
        <w:rPr>
          <w:color w:val="74758C"/>
          <w:sz w:val="18"/>
          <w:szCs w:val="18"/>
        </w:rPr>
        <w:t>, el comercio un 69% y el ocio, la cultura y el deporte un 66%.</w:t>
      </w:r>
    </w:p>
    <w:p w14:paraId="501D2FCD" w14:textId="77777777" w:rsidR="00DF1496" w:rsidRPr="00992AB3" w:rsidRDefault="00DF1496" w:rsidP="00457047">
      <w:pPr>
        <w:pBdr>
          <w:top w:val="nil"/>
          <w:left w:val="nil"/>
          <w:bottom w:val="nil"/>
          <w:right w:val="nil"/>
          <w:between w:val="nil"/>
        </w:pBdr>
        <w:ind w:left="90"/>
        <w:jc w:val="both"/>
        <w:rPr>
          <w:color w:val="74758C"/>
          <w:sz w:val="18"/>
          <w:szCs w:val="18"/>
        </w:rPr>
      </w:pPr>
    </w:p>
    <w:p w14:paraId="52918617" w14:textId="2BBE6F62" w:rsidR="00C118EE" w:rsidRPr="00992AB3" w:rsidRDefault="00DF1496" w:rsidP="00457047">
      <w:pPr>
        <w:numPr>
          <w:ilvl w:val="0"/>
          <w:numId w:val="1"/>
        </w:numPr>
        <w:pBdr>
          <w:top w:val="nil"/>
          <w:left w:val="nil"/>
          <w:bottom w:val="nil"/>
          <w:right w:val="nil"/>
          <w:between w:val="nil"/>
        </w:pBdr>
        <w:ind w:left="90" w:hanging="359"/>
        <w:jc w:val="both"/>
        <w:rPr>
          <w:color w:val="74758C"/>
          <w:sz w:val="18"/>
          <w:szCs w:val="18"/>
        </w:rPr>
      </w:pPr>
      <w:r w:rsidRPr="00992AB3">
        <w:rPr>
          <w:color w:val="74758C"/>
          <w:sz w:val="18"/>
          <w:szCs w:val="18"/>
        </w:rPr>
        <w:t>Las llegadas por motivos de negocios a E</w:t>
      </w:r>
      <w:r w:rsidR="00494320" w:rsidRPr="00992AB3">
        <w:rPr>
          <w:color w:val="74758C"/>
          <w:sz w:val="18"/>
          <w:szCs w:val="18"/>
        </w:rPr>
        <w:t>uropa crecerán un 50%, frente al 39% de las llegadas por ocio, con un crecimiento</w:t>
      </w:r>
      <w:r w:rsidR="00F751C9" w:rsidRPr="00992AB3">
        <w:rPr>
          <w:color w:val="74758C"/>
          <w:sz w:val="18"/>
          <w:szCs w:val="18"/>
        </w:rPr>
        <w:t xml:space="preserve"> especialmente destacado desde Asia-Pacífico (</w:t>
      </w:r>
      <w:r w:rsidR="00457047" w:rsidRPr="00992AB3">
        <w:rPr>
          <w:color w:val="74758C"/>
          <w:sz w:val="18"/>
          <w:szCs w:val="18"/>
        </w:rPr>
        <w:t>+118%) y Oriente Medio (+112%).</w:t>
      </w:r>
    </w:p>
    <w:p w14:paraId="1B3E4D68" w14:textId="77777777" w:rsidR="00C118EE" w:rsidRDefault="00C118EE">
      <w:pPr>
        <w:jc w:val="both"/>
        <w:rPr>
          <w:color w:val="74758C"/>
          <w:sz w:val="22"/>
          <w:szCs w:val="22"/>
        </w:rPr>
      </w:pPr>
    </w:p>
    <w:p w14:paraId="402C42DB" w14:textId="359FB841" w:rsidR="00C118EE" w:rsidRPr="00722742" w:rsidRDefault="0014712B">
      <w:pPr>
        <w:jc w:val="both"/>
        <w:rPr>
          <w:color w:val="74758C"/>
          <w:lang w:val="en-GB"/>
        </w:rPr>
      </w:pPr>
      <w:r w:rsidRPr="00722742">
        <w:rPr>
          <w:color w:val="74758C"/>
          <w:lang w:val="en-GB"/>
        </w:rPr>
        <w:t xml:space="preserve">El </w:t>
      </w:r>
      <w:proofErr w:type="spellStart"/>
      <w:r w:rsidRPr="00722742">
        <w:rPr>
          <w:color w:val="74758C"/>
          <w:lang w:val="en-GB"/>
        </w:rPr>
        <w:t>informe</w:t>
      </w:r>
      <w:proofErr w:type="spellEnd"/>
      <w:r w:rsidRPr="00722742">
        <w:rPr>
          <w:color w:val="74758C"/>
          <w:lang w:val="en-GB"/>
        </w:rPr>
        <w:t xml:space="preserve"> </w:t>
      </w:r>
      <w:proofErr w:type="spellStart"/>
      <w:r w:rsidRPr="00722742">
        <w:rPr>
          <w:color w:val="74758C"/>
          <w:lang w:val="en-GB"/>
        </w:rPr>
        <w:t>completo</w:t>
      </w:r>
      <w:proofErr w:type="spellEnd"/>
      <w:r w:rsidRPr="00722742">
        <w:rPr>
          <w:color w:val="74758C"/>
          <w:lang w:val="en-GB"/>
        </w:rPr>
        <w:t xml:space="preserve">, </w:t>
      </w:r>
      <w:r w:rsidRPr="00722742">
        <w:rPr>
          <w:b/>
          <w:bCs/>
          <w:color w:val="74758C"/>
          <w:lang w:val="en-GB"/>
        </w:rPr>
        <w:t xml:space="preserve">From Change </w:t>
      </w:r>
      <w:proofErr w:type="gramStart"/>
      <w:r w:rsidRPr="00722742">
        <w:rPr>
          <w:b/>
          <w:bCs/>
          <w:color w:val="74758C"/>
          <w:lang w:val="en-GB"/>
        </w:rPr>
        <w:t>To</w:t>
      </w:r>
      <w:proofErr w:type="gramEnd"/>
      <w:r w:rsidRPr="00722742">
        <w:rPr>
          <w:b/>
          <w:bCs/>
          <w:color w:val="74758C"/>
          <w:lang w:val="en-GB"/>
        </w:rPr>
        <w:t xml:space="preserve"> Opportunity - The Changing Face of Europe's Tourism Map to 2036</w:t>
      </w:r>
      <w:r w:rsidRPr="00722742">
        <w:rPr>
          <w:color w:val="74758C"/>
          <w:lang w:val="en-GB"/>
        </w:rPr>
        <w:t xml:space="preserve"> (</w:t>
      </w:r>
      <w:proofErr w:type="spellStart"/>
      <w:r w:rsidRPr="00722742">
        <w:rPr>
          <w:color w:val="74758C"/>
          <w:lang w:val="en-GB"/>
        </w:rPr>
        <w:t>en</w:t>
      </w:r>
      <w:proofErr w:type="spellEnd"/>
      <w:r w:rsidRPr="00722742">
        <w:rPr>
          <w:color w:val="74758C"/>
          <w:lang w:val="en-GB"/>
        </w:rPr>
        <w:t xml:space="preserve"> </w:t>
      </w:r>
      <w:proofErr w:type="spellStart"/>
      <w:r w:rsidRPr="00722742">
        <w:rPr>
          <w:color w:val="74758C"/>
          <w:lang w:val="en-GB"/>
        </w:rPr>
        <w:t>inglés</w:t>
      </w:r>
      <w:proofErr w:type="spellEnd"/>
      <w:r w:rsidRPr="00722742">
        <w:rPr>
          <w:color w:val="74758C"/>
          <w:lang w:val="en-GB"/>
        </w:rPr>
        <w:t xml:space="preserve">), </w:t>
      </w:r>
      <w:proofErr w:type="spellStart"/>
      <w:r w:rsidRPr="00722742">
        <w:rPr>
          <w:color w:val="74758C"/>
          <w:lang w:val="en-GB"/>
        </w:rPr>
        <w:t>puede</w:t>
      </w:r>
      <w:proofErr w:type="spellEnd"/>
      <w:r w:rsidRPr="00722742">
        <w:rPr>
          <w:color w:val="74758C"/>
          <w:lang w:val="en-GB"/>
        </w:rPr>
        <w:t xml:space="preserve"> </w:t>
      </w:r>
      <w:proofErr w:type="spellStart"/>
      <w:r w:rsidRPr="00722742">
        <w:rPr>
          <w:color w:val="74758C"/>
          <w:lang w:val="en-GB"/>
        </w:rPr>
        <w:t>descargarse</w:t>
      </w:r>
      <w:proofErr w:type="spellEnd"/>
      <w:r w:rsidRPr="00722742">
        <w:rPr>
          <w:color w:val="74758C"/>
          <w:lang w:val="en-GB"/>
        </w:rPr>
        <w:t xml:space="preserve"> </w:t>
      </w:r>
      <w:proofErr w:type="spellStart"/>
      <w:r w:rsidRPr="00084A4C">
        <w:rPr>
          <w:color w:val="74758C"/>
          <w:lang w:val="en-GB"/>
        </w:rPr>
        <w:t>aquí</w:t>
      </w:r>
      <w:proofErr w:type="spellEnd"/>
      <w:r w:rsidRPr="00084A4C">
        <w:rPr>
          <w:color w:val="74758C"/>
          <w:lang w:val="en-GB"/>
        </w:rPr>
        <w:t>:</w:t>
      </w:r>
      <w:r w:rsidR="00DB0439">
        <w:rPr>
          <w:color w:val="74758C"/>
          <w:lang w:val="en-GB"/>
        </w:rPr>
        <w:t xml:space="preserve"> </w:t>
      </w:r>
      <w:hyperlink r:id="rId9" w:history="1">
        <w:r w:rsidR="00DB0439" w:rsidRPr="00DB0439">
          <w:rPr>
            <w:rStyle w:val="Hipervnculo"/>
            <w:lang w:val="en-GB"/>
          </w:rPr>
          <w:t>ENLACE</w:t>
        </w:r>
      </w:hyperlink>
      <w:r w:rsidR="00DB0439">
        <w:rPr>
          <w:color w:val="74758C"/>
          <w:lang w:val="en-GB"/>
        </w:rPr>
        <w:t>.</w:t>
      </w:r>
    </w:p>
    <w:p w14:paraId="7D0DAE9C" w14:textId="77777777" w:rsidR="00C118EE" w:rsidRPr="00722742" w:rsidRDefault="00C118EE">
      <w:pPr>
        <w:jc w:val="both"/>
        <w:rPr>
          <w:color w:val="74758C"/>
          <w:lang w:val="en-GB"/>
        </w:rPr>
      </w:pPr>
    </w:p>
    <w:p w14:paraId="10F09BD3" w14:textId="77777777" w:rsidR="00C118EE" w:rsidRPr="00722742" w:rsidRDefault="0014712B">
      <w:r w:rsidRPr="00786B59">
        <w:rPr>
          <w:color w:val="74758C"/>
          <w:u w:val="single"/>
        </w:rPr>
        <w:t xml:space="preserve">From </w:t>
      </w:r>
      <w:hyperlink r:id="rId10">
        <w:r w:rsidR="00C118EE" w:rsidRPr="00786B59">
          <w:rPr>
            <w:color w:val="74758C"/>
            <w:u w:val="single"/>
          </w:rPr>
          <w:t xml:space="preserve">Change </w:t>
        </w:r>
        <w:proofErr w:type="spellStart"/>
        <w:r w:rsidR="00C118EE" w:rsidRPr="00786B59">
          <w:rPr>
            <w:color w:val="74758C"/>
            <w:u w:val="single"/>
          </w:rPr>
          <w:t>To</w:t>
        </w:r>
        <w:proofErr w:type="spellEnd"/>
        <w:r w:rsidR="00C118EE" w:rsidRPr="00786B59">
          <w:rPr>
            <w:color w:val="74758C"/>
            <w:u w:val="single"/>
          </w:rPr>
          <w:t xml:space="preserve"> </w:t>
        </w:r>
        <w:proofErr w:type="spellStart"/>
        <w:r w:rsidR="00C118EE" w:rsidRPr="00786B59">
          <w:rPr>
            <w:color w:val="74758C"/>
            <w:u w:val="single"/>
          </w:rPr>
          <w:t>Opportunity</w:t>
        </w:r>
        <w:proofErr w:type="spellEnd"/>
      </w:hyperlink>
      <w:r w:rsidRPr="00722742">
        <w:rPr>
          <w:color w:val="74758C"/>
        </w:rPr>
        <w:t xml:space="preserve"> es la plataforma de análisis e inteligencia de Accor, que profundiza en los grandes temas y fuerzas que están transformando el futuro </w:t>
      </w:r>
      <w:proofErr w:type="gramStart"/>
      <w:r w:rsidRPr="00722742">
        <w:rPr>
          <w:color w:val="74758C"/>
        </w:rPr>
        <w:t>de la hotelería</w:t>
      </w:r>
      <w:proofErr w:type="gramEnd"/>
      <w:r w:rsidRPr="00722742">
        <w:rPr>
          <w:color w:val="74758C"/>
        </w:rPr>
        <w:t xml:space="preserve"> en un mundo en constante cambio. Más información en </w:t>
      </w:r>
      <w:hyperlink r:id="rId11">
        <w:r w:rsidR="00C118EE" w:rsidRPr="00722742">
          <w:rPr>
            <w:color w:val="000000"/>
            <w:u w:val="single"/>
          </w:rPr>
          <w:t>accor.com</w:t>
        </w:r>
      </w:hyperlink>
      <w:r w:rsidRPr="00722742">
        <w:rPr>
          <w:color w:val="74758C"/>
        </w:rPr>
        <w:t>.</w:t>
      </w:r>
    </w:p>
    <w:p w14:paraId="79969895" w14:textId="77777777" w:rsidR="00C118EE" w:rsidRDefault="0014712B">
      <w:pPr>
        <w:jc w:val="center"/>
        <w:rPr>
          <w:color w:val="74758C"/>
        </w:rPr>
      </w:pPr>
      <w:r>
        <w:rPr>
          <w:color w:val="74758C"/>
        </w:rPr>
        <w:t>###</w:t>
      </w:r>
    </w:p>
    <w:p w14:paraId="21688F68" w14:textId="77777777" w:rsidR="00C118EE" w:rsidRDefault="0014712B">
      <w:pPr>
        <w:pBdr>
          <w:top w:val="nil"/>
          <w:left w:val="nil"/>
          <w:bottom w:val="nil"/>
          <w:right w:val="nil"/>
          <w:between w:val="nil"/>
        </w:pBdr>
        <w:jc w:val="both"/>
        <w:rPr>
          <w:b/>
          <w:bCs/>
          <w:i/>
          <w:iCs/>
          <w:color w:val="74758C"/>
          <w:sz w:val="16"/>
          <w:szCs w:val="16"/>
        </w:rPr>
      </w:pPr>
      <w:r>
        <w:rPr>
          <w:b/>
          <w:bCs/>
          <w:i/>
          <w:iCs/>
          <w:color w:val="74758C"/>
          <w:sz w:val="16"/>
          <w:szCs w:val="16"/>
        </w:rPr>
        <w:t>Notas para editores</w:t>
      </w:r>
    </w:p>
    <w:p w14:paraId="43524540" w14:textId="77777777" w:rsidR="00C118EE" w:rsidRDefault="00C118EE">
      <w:pPr>
        <w:jc w:val="both"/>
        <w:rPr>
          <w:i/>
          <w:iCs/>
          <w:color w:val="74758C"/>
          <w:sz w:val="16"/>
          <w:szCs w:val="16"/>
        </w:rPr>
      </w:pPr>
    </w:p>
    <w:p w14:paraId="46377221" w14:textId="77777777" w:rsidR="00C118EE" w:rsidRPr="00B07359" w:rsidRDefault="0014712B">
      <w:pPr>
        <w:jc w:val="both"/>
        <w:rPr>
          <w:color w:val="74758C"/>
          <w:sz w:val="16"/>
          <w:szCs w:val="16"/>
        </w:rPr>
      </w:pPr>
      <w:r>
        <w:rPr>
          <w:i/>
          <w:iCs/>
          <w:color w:val="74758C"/>
          <w:sz w:val="16"/>
          <w:szCs w:val="16"/>
          <w:vertAlign w:val="superscript"/>
        </w:rPr>
        <w:t>1</w:t>
      </w:r>
      <w:r>
        <w:rPr>
          <w:i/>
          <w:iCs/>
          <w:color w:val="74758C"/>
          <w:sz w:val="16"/>
          <w:szCs w:val="16"/>
        </w:rPr>
        <w:t xml:space="preserve"> </w:t>
      </w:r>
      <w:proofErr w:type="gramStart"/>
      <w:r w:rsidRPr="00B07359">
        <w:rPr>
          <w:color w:val="74758C"/>
          <w:sz w:val="16"/>
          <w:szCs w:val="16"/>
        </w:rPr>
        <w:t>El</w:t>
      </w:r>
      <w:proofErr w:type="gramEnd"/>
      <w:r w:rsidRPr="00B07359">
        <w:rPr>
          <w:color w:val="74758C"/>
          <w:sz w:val="16"/>
          <w:szCs w:val="16"/>
        </w:rPr>
        <w:t xml:space="preserve"> informe se basa en el análisis de previsiones encargadas por Accor y elaboradas por </w:t>
      </w:r>
      <w:proofErr w:type="spellStart"/>
      <w:r w:rsidRPr="00B07359">
        <w:rPr>
          <w:color w:val="74758C"/>
          <w:sz w:val="16"/>
          <w:szCs w:val="16"/>
        </w:rPr>
        <w:t>Tourism</w:t>
      </w:r>
      <w:proofErr w:type="spellEnd"/>
      <w:r w:rsidRPr="00B07359">
        <w:rPr>
          <w:color w:val="74758C"/>
          <w:sz w:val="16"/>
          <w:szCs w:val="16"/>
        </w:rPr>
        <w:t xml:space="preserve"> Economics en junio de 2026. Las previsiones abarcan el periodo 2026-2036 y analizan la demanda turística, los mercados emisores, el gasto de los visitantes y el comportamiento de los viajeros en 47 países europeos.</w:t>
      </w:r>
    </w:p>
    <w:p w14:paraId="215B02DD" w14:textId="77777777" w:rsidR="00C118EE" w:rsidRDefault="00C118EE">
      <w:pPr>
        <w:jc w:val="both"/>
        <w:rPr>
          <w:color w:val="74758C"/>
          <w:sz w:val="18"/>
          <w:szCs w:val="18"/>
        </w:rPr>
      </w:pPr>
    </w:p>
    <w:p w14:paraId="75E5EFEA" w14:textId="77777777" w:rsidR="00585AE5" w:rsidRDefault="00585AE5">
      <w:pPr>
        <w:pBdr>
          <w:top w:val="nil"/>
          <w:left w:val="nil"/>
          <w:bottom w:val="nil"/>
          <w:right w:val="nil"/>
          <w:between w:val="nil"/>
        </w:pBdr>
        <w:jc w:val="both"/>
        <w:rPr>
          <w:b/>
          <w:bCs/>
          <w:color w:val="74758C"/>
          <w:sz w:val="18"/>
          <w:szCs w:val="18"/>
        </w:rPr>
      </w:pPr>
    </w:p>
    <w:p w14:paraId="22A08B98" w14:textId="22BADE11" w:rsidR="00C118EE" w:rsidRDefault="0014712B">
      <w:pPr>
        <w:pBdr>
          <w:top w:val="nil"/>
          <w:left w:val="nil"/>
          <w:bottom w:val="nil"/>
          <w:right w:val="nil"/>
          <w:between w:val="nil"/>
        </w:pBdr>
        <w:jc w:val="both"/>
        <w:rPr>
          <w:b/>
          <w:bCs/>
          <w:color w:val="74758C"/>
          <w:sz w:val="18"/>
          <w:szCs w:val="18"/>
        </w:rPr>
      </w:pPr>
      <w:r>
        <w:rPr>
          <w:b/>
          <w:bCs/>
          <w:color w:val="74758C"/>
          <w:sz w:val="18"/>
          <w:szCs w:val="18"/>
        </w:rPr>
        <w:t>Preguntas y respuestas</w:t>
      </w:r>
    </w:p>
    <w:p w14:paraId="041811AD" w14:textId="77777777" w:rsidR="00C118EE" w:rsidRDefault="00C118EE">
      <w:pPr>
        <w:jc w:val="both"/>
        <w:rPr>
          <w:color w:val="74758C"/>
          <w:sz w:val="18"/>
          <w:szCs w:val="18"/>
        </w:rPr>
      </w:pPr>
    </w:p>
    <w:p w14:paraId="13D250FC" w14:textId="76085063" w:rsidR="00B32607" w:rsidRDefault="0014712B">
      <w:pPr>
        <w:jc w:val="both"/>
        <w:rPr>
          <w:b/>
          <w:bCs/>
          <w:color w:val="74758C"/>
          <w:sz w:val="18"/>
          <w:szCs w:val="18"/>
        </w:rPr>
      </w:pPr>
      <w:r>
        <w:rPr>
          <w:b/>
          <w:bCs/>
          <w:color w:val="74758C"/>
          <w:sz w:val="18"/>
          <w:szCs w:val="18"/>
        </w:rPr>
        <w:t>¿Cuáles son las principales conclusiones del informe?</w:t>
      </w:r>
    </w:p>
    <w:p w14:paraId="55550297" w14:textId="78CD21D8" w:rsidR="00683E16" w:rsidRPr="00683E16" w:rsidRDefault="00683E16" w:rsidP="00683E16">
      <w:pPr>
        <w:jc w:val="both"/>
        <w:rPr>
          <w:color w:val="74758C"/>
          <w:sz w:val="18"/>
          <w:szCs w:val="18"/>
        </w:rPr>
      </w:pPr>
      <w:r w:rsidRPr="00683E16">
        <w:rPr>
          <w:color w:val="74758C"/>
          <w:sz w:val="18"/>
          <w:szCs w:val="18"/>
        </w:rPr>
        <w:t>Las previsiones apuntan a que el turismo europeo seguirá creciendo durante la próxima década, impulsado por el aumento de la demanda de alojamiento, la expansión de los viajes internacionales y la aparición de nuevos mercados emisores. La demanda de alojamiento turístico en Europa crecerá un 32% hasta 2036, mientras que las pernoctaciones internacionales aumentarán un 42%, frente al 24% de las nacionales.</w:t>
      </w:r>
    </w:p>
    <w:p w14:paraId="3951493A" w14:textId="77777777" w:rsidR="00683E16" w:rsidRPr="00683E16" w:rsidRDefault="00683E16" w:rsidP="00683E16">
      <w:pPr>
        <w:jc w:val="both"/>
        <w:rPr>
          <w:color w:val="74758C"/>
          <w:sz w:val="18"/>
          <w:szCs w:val="18"/>
        </w:rPr>
      </w:pPr>
    </w:p>
    <w:p w14:paraId="551C8B00" w14:textId="77777777" w:rsidR="00986297" w:rsidRDefault="00986297" w:rsidP="00986297">
      <w:pPr>
        <w:jc w:val="both"/>
        <w:rPr>
          <w:color w:val="74758C"/>
          <w:sz w:val="18"/>
          <w:szCs w:val="18"/>
        </w:rPr>
      </w:pPr>
      <w:r w:rsidRPr="00986297">
        <w:rPr>
          <w:color w:val="74758C"/>
          <w:sz w:val="18"/>
          <w:szCs w:val="18"/>
        </w:rPr>
        <w:t>España seguirá siendo uno de los mercados turísticos de referencia en Europa. Su demanda de alojamiento crecerá un 35% hasta 2036, por encima de la media europea, mientras que el gasto de los turistas internacionales aumentará un 50%. Corea del Sur destaca como uno de los mercados emisores con mayor potencial de crecimiento hacia España, con un incremento previsto del 153%.</w:t>
      </w:r>
    </w:p>
    <w:p w14:paraId="2FD4AC93" w14:textId="77777777" w:rsidR="00986297" w:rsidRDefault="00986297" w:rsidP="00986297">
      <w:pPr>
        <w:jc w:val="both"/>
        <w:rPr>
          <w:color w:val="74758C"/>
          <w:sz w:val="18"/>
          <w:szCs w:val="18"/>
        </w:rPr>
      </w:pPr>
    </w:p>
    <w:p w14:paraId="4029D317" w14:textId="77777777" w:rsidR="00585AE5" w:rsidRDefault="00585AE5" w:rsidP="00986297">
      <w:pPr>
        <w:jc w:val="both"/>
        <w:rPr>
          <w:b/>
          <w:bCs/>
          <w:color w:val="74758C"/>
          <w:sz w:val="18"/>
          <w:szCs w:val="18"/>
        </w:rPr>
      </w:pPr>
    </w:p>
    <w:p w14:paraId="566A4A62" w14:textId="1131D7A0" w:rsidR="00B32607" w:rsidRDefault="0014712B" w:rsidP="00986297">
      <w:pPr>
        <w:jc w:val="both"/>
        <w:rPr>
          <w:b/>
          <w:bCs/>
          <w:color w:val="74758C"/>
          <w:sz w:val="18"/>
          <w:szCs w:val="18"/>
        </w:rPr>
      </w:pPr>
      <w:r>
        <w:rPr>
          <w:b/>
          <w:bCs/>
          <w:color w:val="74758C"/>
          <w:sz w:val="18"/>
          <w:szCs w:val="18"/>
        </w:rPr>
        <w:lastRenderedPageBreak/>
        <w:t>¿Cuál es la fuente y la metodología de los datos del informe?</w:t>
      </w:r>
    </w:p>
    <w:p w14:paraId="6AD26CF6" w14:textId="3BE1A978" w:rsidR="00C118EE" w:rsidRDefault="0014712B">
      <w:pPr>
        <w:jc w:val="both"/>
        <w:rPr>
          <w:color w:val="74758C"/>
          <w:sz w:val="18"/>
          <w:szCs w:val="18"/>
        </w:rPr>
      </w:pPr>
      <w:r>
        <w:rPr>
          <w:color w:val="74758C"/>
          <w:sz w:val="18"/>
          <w:szCs w:val="18"/>
        </w:rPr>
        <w:t xml:space="preserve">El informe se basa en previsiones elaboradas por </w:t>
      </w:r>
      <w:proofErr w:type="spellStart"/>
      <w:r>
        <w:rPr>
          <w:color w:val="74758C"/>
          <w:sz w:val="18"/>
          <w:szCs w:val="18"/>
        </w:rPr>
        <w:t>Tourism</w:t>
      </w:r>
      <w:proofErr w:type="spellEnd"/>
      <w:r>
        <w:rPr>
          <w:color w:val="74758C"/>
          <w:sz w:val="18"/>
          <w:szCs w:val="18"/>
        </w:rPr>
        <w:t xml:space="preserve"> Economics, compañía de Oxford </w:t>
      </w:r>
      <w:proofErr w:type="spellStart"/>
      <w:r>
        <w:rPr>
          <w:color w:val="74758C"/>
          <w:sz w:val="18"/>
          <w:szCs w:val="18"/>
        </w:rPr>
        <w:t>Economics</w:t>
      </w:r>
      <w:proofErr w:type="spellEnd"/>
      <w:r>
        <w:rPr>
          <w:color w:val="74758C"/>
          <w:sz w:val="18"/>
          <w:szCs w:val="18"/>
        </w:rPr>
        <w:t xml:space="preserve"> y proveedor líder de análisis turístico y económico, a partir de una amplia gama de datos turísticos, económicos y de viajes, en junio de 2026. Las previsiones cubren el periodo 2026-2036 y 47 países europeos.</w:t>
      </w:r>
    </w:p>
    <w:p w14:paraId="25AAFD19" w14:textId="77777777" w:rsidR="00C118EE" w:rsidRDefault="00C118EE">
      <w:pPr>
        <w:jc w:val="both"/>
        <w:rPr>
          <w:color w:val="74758C"/>
          <w:sz w:val="18"/>
          <w:szCs w:val="18"/>
        </w:rPr>
      </w:pPr>
    </w:p>
    <w:p w14:paraId="0BA404BF" w14:textId="4515F296" w:rsidR="00B32607" w:rsidRDefault="0014712B">
      <w:pPr>
        <w:jc w:val="both"/>
        <w:rPr>
          <w:b/>
          <w:bCs/>
          <w:color w:val="74758C"/>
          <w:sz w:val="18"/>
          <w:szCs w:val="18"/>
        </w:rPr>
      </w:pPr>
      <w:r>
        <w:rPr>
          <w:b/>
          <w:bCs/>
          <w:color w:val="74758C"/>
          <w:sz w:val="18"/>
          <w:szCs w:val="18"/>
        </w:rPr>
        <w:t>¿Qué conclusiones ofrece el informe para los hoteleros</w:t>
      </w:r>
      <w:r w:rsidR="00265547">
        <w:rPr>
          <w:b/>
          <w:bCs/>
          <w:color w:val="74758C"/>
          <w:sz w:val="18"/>
          <w:szCs w:val="18"/>
        </w:rPr>
        <w:t>?</w:t>
      </w:r>
    </w:p>
    <w:p w14:paraId="2BBC78EE" w14:textId="5B2F3543" w:rsidR="00C118EE" w:rsidRDefault="00404489">
      <w:pPr>
        <w:jc w:val="both"/>
        <w:rPr>
          <w:color w:val="74758C"/>
          <w:sz w:val="18"/>
          <w:szCs w:val="18"/>
        </w:rPr>
      </w:pPr>
      <w:r>
        <w:rPr>
          <w:color w:val="74758C"/>
          <w:sz w:val="18"/>
          <w:szCs w:val="18"/>
        </w:rPr>
        <w:t>El informe subraya la</w:t>
      </w:r>
      <w:r w:rsidR="0014712B">
        <w:rPr>
          <w:color w:val="74758C"/>
          <w:sz w:val="18"/>
          <w:szCs w:val="18"/>
        </w:rPr>
        <w:t xml:space="preserve"> importancia de entender los cambios en el comportamiento de los viajeros, adaptarse a los nuevos patrones de demanda e identificar los mercados con mayor potencial de crecimiento. A medida que la demanda se vuelve más internacional y geográficamente diversa, los propietarios que sepan alinear las marcas, ubicaciones y capacidades adecuadas con la evolución de los flujos de viajeros estarán mejor posicionados para beneficiarse del próximo capítulo del turismo europeo. En mercados </w:t>
      </w:r>
      <w:r w:rsidR="00016055">
        <w:rPr>
          <w:color w:val="74758C"/>
          <w:sz w:val="18"/>
          <w:szCs w:val="18"/>
        </w:rPr>
        <w:t>consolidados</w:t>
      </w:r>
      <w:r w:rsidR="0014712B">
        <w:rPr>
          <w:color w:val="74758C"/>
          <w:sz w:val="18"/>
          <w:szCs w:val="18"/>
        </w:rPr>
        <w:t xml:space="preserve"> como España, </w:t>
      </w:r>
      <w:r w:rsidR="00016055">
        <w:rPr>
          <w:color w:val="74758C"/>
          <w:sz w:val="18"/>
          <w:szCs w:val="18"/>
        </w:rPr>
        <w:t>estas tendencias también refuerzan</w:t>
      </w:r>
      <w:r w:rsidR="0071021A">
        <w:rPr>
          <w:color w:val="74758C"/>
          <w:sz w:val="18"/>
          <w:szCs w:val="18"/>
        </w:rPr>
        <w:t xml:space="preserve"> la importancia de adaptar la oferta hotelera a nuevos perfiles de viajeros y mercados emisores.</w:t>
      </w:r>
    </w:p>
    <w:p w14:paraId="78781BEC" w14:textId="77777777" w:rsidR="00C118EE" w:rsidRDefault="00C118EE">
      <w:pPr>
        <w:jc w:val="both"/>
        <w:rPr>
          <w:color w:val="74758C"/>
          <w:sz w:val="18"/>
          <w:szCs w:val="18"/>
        </w:rPr>
      </w:pPr>
    </w:p>
    <w:p w14:paraId="32D4284B" w14:textId="77777777" w:rsidR="00C118EE" w:rsidRDefault="00C118EE">
      <w:pPr>
        <w:jc w:val="both"/>
        <w:rPr>
          <w:color w:val="74758C"/>
        </w:rPr>
      </w:pPr>
    </w:p>
    <w:p w14:paraId="6C4CFD2E" w14:textId="77777777" w:rsidR="00B32607" w:rsidRDefault="00B32607" w:rsidP="00B32607">
      <w:pPr>
        <w:spacing w:line="319" w:lineRule="auto"/>
        <w:jc w:val="both"/>
        <w:rPr>
          <w:color w:val="74758C"/>
          <w:sz w:val="20"/>
          <w:szCs w:val="20"/>
        </w:rPr>
      </w:pPr>
    </w:p>
    <w:p w14:paraId="6099C30C" w14:textId="77777777" w:rsidR="00B32607" w:rsidRPr="0049098C" w:rsidRDefault="00B32607" w:rsidP="004550F6">
      <w:pPr>
        <w:jc w:val="center"/>
        <w:rPr>
          <w:b/>
          <w:bCs/>
          <w:color w:val="002060"/>
          <w:sz w:val="16"/>
          <w:szCs w:val="16"/>
        </w:rPr>
      </w:pPr>
      <w:r w:rsidRPr="0049098C">
        <w:rPr>
          <w:b/>
          <w:bCs/>
          <w:color w:val="002060"/>
          <w:sz w:val="16"/>
          <w:szCs w:val="16"/>
        </w:rPr>
        <w:t>ACERCA DE ACCOR</w:t>
      </w:r>
    </w:p>
    <w:p w14:paraId="05DC8E70" w14:textId="77777777" w:rsidR="00B32607" w:rsidRDefault="00B32607" w:rsidP="00B32607">
      <w:pPr>
        <w:jc w:val="both"/>
        <w:rPr>
          <w:i/>
          <w:iCs/>
          <w:color w:val="74758C"/>
          <w:sz w:val="16"/>
          <w:szCs w:val="16"/>
        </w:rPr>
      </w:pPr>
    </w:p>
    <w:p w14:paraId="79510173" w14:textId="77777777" w:rsidR="00B32607" w:rsidRDefault="00B32607" w:rsidP="00B32607">
      <w:pPr>
        <w:jc w:val="both"/>
        <w:rPr>
          <w:color w:val="74758C"/>
          <w:sz w:val="12"/>
          <w:szCs w:val="12"/>
        </w:rPr>
      </w:pPr>
      <w:hyperlink r:id="rId12">
        <w:r>
          <w:rPr>
            <w:color w:val="000000"/>
            <w:sz w:val="18"/>
            <w:szCs w:val="18"/>
            <w:u w:val="single"/>
          </w:rPr>
          <w:t>Accor</w:t>
        </w:r>
      </w:hyperlink>
      <w:r>
        <w:rPr>
          <w:color w:val="74758C"/>
          <w:sz w:val="18"/>
          <w:szCs w:val="18"/>
        </w:rPr>
        <w:t xml:space="preserve"> es un grupo hotelero líder a nivel mundial que ofrece experiencias en más de 110 países, con 5.700 establecimientos, 10.000 locales de restauración, instalaciones de bienestar y espacios de trabajo flexibles. El Grupo cuenta con uno de los ecosistemas hoteleros más diversos del sector, que abarca más de 45 marcas hoteleras, desde el segmento de lujo hasta el económico, así como el segmento </w:t>
      </w:r>
      <w:proofErr w:type="spellStart"/>
      <w:r>
        <w:rPr>
          <w:color w:val="74758C"/>
          <w:sz w:val="18"/>
          <w:szCs w:val="18"/>
        </w:rPr>
        <w:t>Lifestyle</w:t>
      </w:r>
      <w:proofErr w:type="spellEnd"/>
      <w:r>
        <w:rPr>
          <w:color w:val="74758C"/>
          <w:sz w:val="18"/>
          <w:szCs w:val="18"/>
        </w:rPr>
        <w:t xml:space="preserve"> con </w:t>
      </w:r>
      <w:proofErr w:type="spellStart"/>
      <w:r>
        <w:rPr>
          <w:color w:val="74758C"/>
          <w:sz w:val="18"/>
          <w:szCs w:val="18"/>
        </w:rPr>
        <w:t>Ennismore</w:t>
      </w:r>
      <w:proofErr w:type="spellEnd"/>
      <w:r>
        <w:rPr>
          <w:color w:val="74758C"/>
          <w:sz w:val="18"/>
          <w:szCs w:val="18"/>
        </w:rPr>
        <w:t xml:space="preserve">. Accor se centra en impulsar acciones positivas a través de la ética empresarial, el turismo responsable, la sostenibilidad medioambiental, el compromiso con la comunidad, la diversidad y la inclusión. Fundada en 1967, Accor SA tiene su sede en Francia y cotiza en Euronext París (código ISIN: FR0000120404) y en el mercado OTC (símbolo: ACCYY) de Estados Unidos. Para obtener más información, visite </w:t>
      </w:r>
      <w:hyperlink r:id="rId13">
        <w:r>
          <w:rPr>
            <w:color w:val="000000"/>
            <w:sz w:val="18"/>
            <w:szCs w:val="18"/>
            <w:u w:val="single"/>
          </w:rPr>
          <w:t>group.accor.com</w:t>
        </w:r>
      </w:hyperlink>
      <w:r>
        <w:rPr>
          <w:color w:val="74758C"/>
          <w:sz w:val="18"/>
          <w:szCs w:val="18"/>
        </w:rPr>
        <w:t xml:space="preserve"> o síganos en </w:t>
      </w:r>
      <w:hyperlink r:id="rId14">
        <w:r>
          <w:rPr>
            <w:color w:val="000000"/>
            <w:sz w:val="18"/>
            <w:szCs w:val="18"/>
            <w:u w:val="single"/>
          </w:rPr>
          <w:t>X</w:t>
        </w:r>
      </w:hyperlink>
      <w:r>
        <w:rPr>
          <w:color w:val="74758C"/>
          <w:sz w:val="18"/>
          <w:szCs w:val="18"/>
        </w:rPr>
        <w:t>, </w:t>
      </w:r>
      <w:hyperlink r:id="rId15">
        <w:r>
          <w:rPr>
            <w:color w:val="000000"/>
            <w:sz w:val="18"/>
            <w:szCs w:val="18"/>
            <w:u w:val="single"/>
          </w:rPr>
          <w:t>Facebook</w:t>
        </w:r>
      </w:hyperlink>
      <w:r>
        <w:rPr>
          <w:color w:val="74758C"/>
          <w:sz w:val="18"/>
          <w:szCs w:val="18"/>
        </w:rPr>
        <w:t>, </w:t>
      </w:r>
      <w:hyperlink r:id="rId16">
        <w:r>
          <w:rPr>
            <w:color w:val="000000"/>
            <w:sz w:val="18"/>
            <w:szCs w:val="18"/>
            <w:u w:val="single"/>
          </w:rPr>
          <w:t>LinkedIn,</w:t>
        </w:r>
      </w:hyperlink>
      <w:r>
        <w:rPr>
          <w:color w:val="74758C"/>
          <w:sz w:val="18"/>
          <w:szCs w:val="18"/>
        </w:rPr>
        <w:t xml:space="preserve"> </w:t>
      </w:r>
      <w:hyperlink r:id="rId17">
        <w:r>
          <w:rPr>
            <w:color w:val="000000"/>
            <w:sz w:val="18"/>
            <w:szCs w:val="18"/>
            <w:u w:val="single"/>
          </w:rPr>
          <w:t>Instagram</w:t>
        </w:r>
      </w:hyperlink>
      <w:r>
        <w:rPr>
          <w:color w:val="74758C"/>
          <w:sz w:val="18"/>
          <w:szCs w:val="18"/>
        </w:rPr>
        <w:t xml:space="preserve"> y </w:t>
      </w:r>
      <w:hyperlink r:id="rId18">
        <w:r>
          <w:rPr>
            <w:color w:val="000000"/>
            <w:sz w:val="18"/>
            <w:szCs w:val="18"/>
            <w:u w:val="single"/>
          </w:rPr>
          <w:t>TikTok</w:t>
        </w:r>
      </w:hyperlink>
      <w:r>
        <w:rPr>
          <w:color w:val="74758C"/>
          <w:sz w:val="12"/>
          <w:szCs w:val="12"/>
        </w:rPr>
        <w:t>.</w:t>
      </w:r>
    </w:p>
    <w:p w14:paraId="33B1A3C5" w14:textId="77777777" w:rsidR="00B32607" w:rsidRDefault="00B32607" w:rsidP="00B32607">
      <w:pPr>
        <w:jc w:val="both"/>
        <w:rPr>
          <w:color w:val="74758C"/>
          <w:sz w:val="12"/>
          <w:szCs w:val="12"/>
        </w:rPr>
      </w:pPr>
    </w:p>
    <w:p w14:paraId="40E4944F" w14:textId="77777777" w:rsidR="00B32607" w:rsidRDefault="00B32607" w:rsidP="00B32607">
      <w:pPr>
        <w:jc w:val="both"/>
        <w:rPr>
          <w:color w:val="74758C"/>
          <w:sz w:val="16"/>
          <w:szCs w:val="16"/>
        </w:rPr>
      </w:pPr>
    </w:p>
    <w:p w14:paraId="0AB35D0F" w14:textId="3E93D4FA" w:rsidR="00C216CC" w:rsidRDefault="00B32607" w:rsidP="00C216CC">
      <w:pPr>
        <w:jc w:val="both"/>
        <w:rPr>
          <w:b/>
          <w:bCs/>
          <w:color w:val="74758C"/>
          <w:sz w:val="16"/>
          <w:szCs w:val="16"/>
        </w:rPr>
      </w:pPr>
      <w:r w:rsidRPr="00017393">
        <w:rPr>
          <w:rFonts w:eastAsia="Arial" w:cs="Arial"/>
          <w:b/>
          <w:bCs/>
          <w:color w:val="74758C"/>
          <w:sz w:val="18"/>
          <w:szCs w:val="18"/>
        </w:rPr>
        <w:t xml:space="preserve"> </w:t>
      </w:r>
    </w:p>
    <w:p w14:paraId="1C1A6914" w14:textId="1E05AC6B" w:rsidR="00B32607" w:rsidRPr="00017393" w:rsidRDefault="00B32607" w:rsidP="00B32607">
      <w:pPr>
        <w:rPr>
          <w:rFonts w:eastAsia="Arial" w:cs="Arial"/>
          <w:b/>
          <w:bCs/>
          <w:color w:val="74758C"/>
          <w:sz w:val="18"/>
          <w:szCs w:val="18"/>
        </w:rPr>
      </w:pPr>
    </w:p>
    <w:p w14:paraId="3C3DD798" w14:textId="77777777" w:rsidR="00B32607" w:rsidRPr="00AC6FA4" w:rsidRDefault="00B32607" w:rsidP="00B32607">
      <w:pPr>
        <w:rPr>
          <w:rFonts w:eastAsia="Arial" w:cs="Arial"/>
          <w:b/>
          <w:bCs/>
          <w:color w:val="002060"/>
          <w:sz w:val="18"/>
          <w:szCs w:val="18"/>
          <w:u w:val="single"/>
        </w:rPr>
      </w:pPr>
      <w:r w:rsidRPr="00AC6FA4">
        <w:rPr>
          <w:rFonts w:eastAsia="Arial" w:cs="Arial"/>
          <w:b/>
          <w:bCs/>
          <w:color w:val="002060"/>
          <w:sz w:val="18"/>
          <w:szCs w:val="18"/>
          <w:u w:val="single"/>
        </w:rPr>
        <w:t>Contacto de prensa de Accor:</w:t>
      </w:r>
    </w:p>
    <w:p w14:paraId="2B84A5F5" w14:textId="77777777" w:rsidR="00B32607" w:rsidRPr="00017393" w:rsidRDefault="00B32607" w:rsidP="00B32607">
      <w:pPr>
        <w:rPr>
          <w:rFonts w:eastAsia="Arial" w:cs="Arial"/>
          <w:color w:val="74758C"/>
          <w:sz w:val="18"/>
          <w:szCs w:val="18"/>
        </w:rPr>
      </w:pPr>
      <w:r w:rsidRPr="00017393">
        <w:rPr>
          <w:rFonts w:eastAsia="Arial" w:cs="Arial"/>
          <w:color w:val="74758C"/>
          <w:sz w:val="18"/>
          <w:szCs w:val="18"/>
        </w:rPr>
        <w:t xml:space="preserve"> </w:t>
      </w:r>
    </w:p>
    <w:p w14:paraId="1ADF6346" w14:textId="77777777" w:rsidR="00B32607" w:rsidRPr="00927966" w:rsidRDefault="00B32607" w:rsidP="00B32607">
      <w:pPr>
        <w:rPr>
          <w:rFonts w:eastAsia="Arial" w:cs="Arial"/>
          <w:color w:val="74758C"/>
          <w:sz w:val="18"/>
          <w:szCs w:val="18"/>
          <w:lang w:val="it-IT"/>
        </w:rPr>
      </w:pPr>
      <w:r w:rsidRPr="00927966">
        <w:rPr>
          <w:rFonts w:eastAsia="Arial" w:cs="Arial"/>
          <w:b/>
          <w:bCs/>
          <w:color w:val="74758C"/>
          <w:sz w:val="18"/>
          <w:szCs w:val="18"/>
          <w:lang w:val="it-IT"/>
        </w:rPr>
        <w:t xml:space="preserve">Sara López Morosetti             </w:t>
      </w:r>
      <w:r w:rsidRPr="00927966">
        <w:rPr>
          <w:rFonts w:eastAsia="Arial" w:cs="Arial"/>
          <w:b/>
          <w:bCs/>
          <w:color w:val="74758C"/>
          <w:sz w:val="18"/>
          <w:szCs w:val="18"/>
          <w:lang w:val="it-IT"/>
        </w:rPr>
        <w:tab/>
        <w:t xml:space="preserve">                                                </w:t>
      </w:r>
      <w:r w:rsidRPr="00927966">
        <w:rPr>
          <w:rFonts w:eastAsia="Arial" w:cs="Arial"/>
          <w:color w:val="74758C"/>
          <w:sz w:val="18"/>
          <w:szCs w:val="18"/>
          <w:lang w:val="it-IT"/>
        </w:rPr>
        <w:t xml:space="preserve">          </w:t>
      </w:r>
    </w:p>
    <w:p w14:paraId="06F041E9" w14:textId="77777777" w:rsidR="00B32607" w:rsidRPr="00927966" w:rsidRDefault="00B32607" w:rsidP="00B32607">
      <w:pPr>
        <w:rPr>
          <w:rFonts w:eastAsia="Arial" w:cs="Arial"/>
          <w:color w:val="74758C"/>
          <w:sz w:val="18"/>
          <w:szCs w:val="18"/>
          <w:lang w:val="it-IT"/>
        </w:rPr>
      </w:pPr>
      <w:r w:rsidRPr="00927966">
        <w:rPr>
          <w:rFonts w:eastAsia="Arial" w:cs="Arial"/>
          <w:color w:val="74758C"/>
          <w:sz w:val="18"/>
          <w:szCs w:val="18"/>
          <w:lang w:val="it-IT"/>
        </w:rPr>
        <w:t xml:space="preserve">PR &amp; Media Relations Manager- Mediterranean Countries       </w:t>
      </w:r>
      <w:r w:rsidRPr="00927966">
        <w:rPr>
          <w:rFonts w:eastAsia="Arial" w:cs="Arial"/>
          <w:color w:val="74758C"/>
          <w:sz w:val="18"/>
          <w:szCs w:val="18"/>
          <w:lang w:val="it-IT"/>
        </w:rPr>
        <w:tab/>
        <w:t xml:space="preserve"> </w:t>
      </w:r>
      <w:hyperlink r:id="rId19">
        <w:r w:rsidRPr="00927966">
          <w:rPr>
            <w:rFonts w:eastAsia="Arial" w:cs="Arial"/>
            <w:color w:val="1155CC"/>
            <w:sz w:val="18"/>
            <w:szCs w:val="18"/>
            <w:u w:val="single"/>
            <w:lang w:val="it-IT"/>
          </w:rPr>
          <w:t>sara.lopezmorosetti@accor.com</w:t>
        </w:r>
      </w:hyperlink>
    </w:p>
    <w:p w14:paraId="4A1D3414" w14:textId="77777777" w:rsidR="00B32607" w:rsidRPr="00927966" w:rsidRDefault="00B32607" w:rsidP="00B32607">
      <w:pPr>
        <w:rPr>
          <w:rFonts w:eastAsia="Arial" w:cs="Arial"/>
          <w:color w:val="74758C"/>
          <w:sz w:val="18"/>
          <w:szCs w:val="18"/>
          <w:lang w:val="it-IT"/>
        </w:rPr>
      </w:pPr>
    </w:p>
    <w:p w14:paraId="5D63B217" w14:textId="77777777" w:rsidR="00B32607" w:rsidRPr="00927966" w:rsidRDefault="00B32607" w:rsidP="00B32607">
      <w:pPr>
        <w:rPr>
          <w:rFonts w:eastAsia="Arial" w:cs="Arial"/>
          <w:color w:val="74758C"/>
          <w:sz w:val="18"/>
          <w:szCs w:val="18"/>
        </w:rPr>
      </w:pPr>
      <w:r w:rsidRPr="00927966">
        <w:rPr>
          <w:rFonts w:eastAsia="Arial" w:cs="Arial"/>
          <w:b/>
          <w:bCs/>
          <w:color w:val="74758C"/>
          <w:sz w:val="18"/>
          <w:szCs w:val="18"/>
        </w:rPr>
        <w:t>Sergat</w:t>
      </w:r>
    </w:p>
    <w:p w14:paraId="54B3F97E" w14:textId="77777777" w:rsidR="00B32607" w:rsidRPr="00927966" w:rsidRDefault="00B32607" w:rsidP="00B32607">
      <w:pPr>
        <w:rPr>
          <w:rFonts w:eastAsia="Arial" w:cs="Arial"/>
          <w:color w:val="74758C"/>
          <w:sz w:val="18"/>
          <w:szCs w:val="18"/>
        </w:rPr>
      </w:pPr>
      <w:r w:rsidRPr="00927966">
        <w:rPr>
          <w:rFonts w:eastAsia="Arial" w:cs="Arial"/>
          <w:color w:val="74758C"/>
          <w:sz w:val="18"/>
          <w:szCs w:val="18"/>
        </w:rPr>
        <w:t>Agencia de comunicación</w:t>
      </w:r>
    </w:p>
    <w:p w14:paraId="17772826" w14:textId="77777777" w:rsidR="00B32607" w:rsidRPr="00333118" w:rsidRDefault="00B32607" w:rsidP="00B32607">
      <w:pPr>
        <w:rPr>
          <w:rFonts w:eastAsia="Arial" w:cs="Arial"/>
          <w:color w:val="1155CC"/>
          <w:sz w:val="18"/>
          <w:szCs w:val="18"/>
          <w:u w:val="single"/>
          <w:lang w:val="it-IT"/>
        </w:rPr>
      </w:pPr>
      <w:hyperlink r:id="rId20">
        <w:r w:rsidRPr="00333118">
          <w:rPr>
            <w:rFonts w:eastAsia="Arial" w:cs="Arial"/>
            <w:color w:val="1155CC"/>
            <w:sz w:val="18"/>
            <w:szCs w:val="18"/>
            <w:u w:val="single"/>
            <w:lang w:val="it-IT"/>
          </w:rPr>
          <w:t>prensa@sergat.com</w:t>
        </w:r>
      </w:hyperlink>
    </w:p>
    <w:p w14:paraId="4515354F" w14:textId="77777777" w:rsidR="00C118EE" w:rsidRDefault="00C118EE" w:rsidP="00927966">
      <w:pPr>
        <w:pBdr>
          <w:top w:val="nil"/>
          <w:left w:val="nil"/>
          <w:bottom w:val="nil"/>
          <w:right w:val="nil"/>
          <w:between w:val="nil"/>
        </w:pBdr>
        <w:jc w:val="both"/>
        <w:rPr>
          <w:b/>
          <w:bCs/>
          <w:color w:val="74758C"/>
        </w:rPr>
      </w:pPr>
    </w:p>
    <w:sectPr w:rsidR="00C118EE">
      <w:headerReference w:type="default" r:id="rId21"/>
      <w:footerReference w:type="default" r:id="rId22"/>
      <w:headerReference w:type="first" r:id="rId23"/>
      <w:footerReference w:type="first" r:id="rId24"/>
      <w:pgSz w:w="11906" w:h="16838"/>
      <w:pgMar w:top="2381" w:right="1758" w:bottom="567" w:left="1758" w:header="284" w:footer="145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7239C1" w14:textId="77777777" w:rsidR="00B708A5" w:rsidRDefault="00B708A5">
      <w:r>
        <w:separator/>
      </w:r>
    </w:p>
  </w:endnote>
  <w:endnote w:type="continuationSeparator" w:id="0">
    <w:p w14:paraId="0C742A6E" w14:textId="77777777" w:rsidR="00B708A5" w:rsidRDefault="00B70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4E2A510E-9AF9-4D41-BD9B-8D001945244C}"/>
  </w:font>
  <w:font w:name="Verdana">
    <w:panose1 w:val="020B0604030504040204"/>
    <w:charset w:val="00"/>
    <w:family w:val="swiss"/>
    <w:pitch w:val="variable"/>
    <w:sig w:usb0="A10006FF" w:usb1="4000205B" w:usb2="00000010" w:usb3="00000000" w:csb0="0000019F" w:csb1="00000000"/>
    <w:embedRegular r:id="rId3" w:fontKey="{B02BCBD1-D222-7F40-B0BB-5AC3CF7BF5A5}"/>
    <w:embedBold r:id="rId4" w:fontKey="{E401CDB6-B1A3-EA4F-9095-6449DD10C4D3}"/>
    <w:embedItalic r:id="rId5" w:fontKey="{25E51335-C175-7945-ABF1-64ABC0172C24}"/>
    <w:embedBoldItalic r:id="rId6" w:fontKey="{64F9E3B6-2125-7749-A94B-290B2DFF6D7B}"/>
  </w:font>
  <w:font w:name="Times New Roman">
    <w:panose1 w:val="02020603050405020304"/>
    <w:charset w:val="00"/>
    <w:family w:val="roman"/>
    <w:pitch w:val="variable"/>
    <w:sig w:usb0="E0002EFF" w:usb1="C000785B" w:usb2="00000009" w:usb3="00000000" w:csb0="000001FF" w:csb1="00000000"/>
    <w:embedRegular r:id="rId7" w:fontKey="{B40854A7-905D-1A4D-9386-B4FE618D2445}"/>
    <w:embedBold r:id="rId8" w:fontKey="{E8AE7D7F-C0DE-D04F-B41C-7880DE2AAE72}"/>
    <w:embedItalic r:id="rId9" w:fontKey="{A888065D-E544-E343-B2E3-16762F3F0836}"/>
    <w:embedBoldItalic r:id="rId10" w:fontKey="{3FF52B1E-9CBC-364B-A68A-ECBF4222B66A}"/>
  </w:font>
  <w:font w:name="Arial">
    <w:panose1 w:val="020B0604020202020204"/>
    <w:charset w:val="00"/>
    <w:family w:val="swiss"/>
    <w:pitch w:val="variable"/>
    <w:sig w:usb0="E0002EFF" w:usb1="C000785B" w:usb2="00000009" w:usb3="00000000" w:csb0="000001FF" w:csb1="00000000"/>
    <w:embedRegular r:id="rId11" w:fontKey="{911963D4-45A0-1049-9EAF-309B1EA5AAE6}"/>
    <w:embedBold r:id="rId12" w:fontKey="{43EB207D-9346-3241-8A35-DE280A09EA1F}"/>
  </w:font>
  <w:font w:name="Calibri">
    <w:panose1 w:val="020F0502020204030204"/>
    <w:charset w:val="00"/>
    <w:family w:val="swiss"/>
    <w:pitch w:val="variable"/>
    <w:sig w:usb0="E4002EFF" w:usb1="C200247B" w:usb2="00000009" w:usb3="00000000" w:csb0="000001FF" w:csb1="00000000"/>
    <w:embedRegular r:id="rId13" w:fontKey="{0E3AF027-9956-0646-A3C7-FDF787E41862}"/>
  </w:font>
  <w:font w:name="Cambria">
    <w:panose1 w:val="02040503050406030204"/>
    <w:charset w:val="00"/>
    <w:family w:val="roman"/>
    <w:pitch w:val="variable"/>
    <w:sig w:usb0="E00006FF" w:usb1="420024FF" w:usb2="02000000" w:usb3="00000000" w:csb0="0000019F" w:csb1="00000000"/>
    <w:embedRegular r:id="rId14" w:fontKey="{5AB895EE-A031-A444-A28C-848CAFF680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448515" w14:textId="77777777" w:rsidR="00C118EE" w:rsidRDefault="00C118EE">
    <w:pPr>
      <w:pBdr>
        <w:top w:val="nil"/>
        <w:left w:val="nil"/>
        <w:bottom w:val="nil"/>
        <w:right w:val="nil"/>
        <w:between w:val="nil"/>
      </w:pBdr>
      <w:rPr>
        <w:color w:val="000000"/>
      </w:rPr>
    </w:pPr>
  </w:p>
  <w:p w14:paraId="0EB265E7" w14:textId="77777777" w:rsidR="00C118EE" w:rsidRDefault="00C118EE">
    <w:pPr>
      <w:pBdr>
        <w:top w:val="nil"/>
        <w:left w:val="nil"/>
        <w:bottom w:val="nil"/>
        <w:right w:val="nil"/>
        <w:between w:val="nil"/>
      </w:pBdr>
      <w:rPr>
        <w:color w:val="000000"/>
      </w:rPr>
    </w:pPr>
  </w:p>
  <w:p w14:paraId="6CFC03BD" w14:textId="77777777" w:rsidR="00C118EE" w:rsidRDefault="00C118EE">
    <w:pPr>
      <w:pBdr>
        <w:top w:val="nil"/>
        <w:left w:val="nil"/>
        <w:bottom w:val="nil"/>
        <w:right w:val="nil"/>
        <w:between w:val="nil"/>
      </w:pBdr>
      <w:rPr>
        <w:color w:val="000000"/>
      </w:rPr>
    </w:pPr>
  </w:p>
  <w:p w14:paraId="1B286C0A" w14:textId="77777777" w:rsidR="00C118EE" w:rsidRDefault="00C118EE">
    <w:pPr>
      <w:pBdr>
        <w:top w:val="nil"/>
        <w:left w:val="nil"/>
        <w:bottom w:val="nil"/>
        <w:right w:val="nil"/>
        <w:between w:val="nil"/>
      </w:pBdr>
      <w:rPr>
        <w:color w:val="000000"/>
      </w:rPr>
    </w:pPr>
  </w:p>
  <w:p w14:paraId="78C57134" w14:textId="77777777" w:rsidR="00C118EE" w:rsidRDefault="0014712B">
    <w:pPr>
      <w:pBdr>
        <w:top w:val="nil"/>
        <w:left w:val="nil"/>
        <w:bottom w:val="nil"/>
        <w:right w:val="nil"/>
        <w:between w:val="nil"/>
      </w:pBdr>
      <w:rPr>
        <w:color w:val="000000"/>
      </w:rPr>
    </w:pPr>
    <w:r>
      <w:rPr>
        <w:noProof/>
      </w:rPr>
      <w:drawing>
        <wp:anchor distT="0" distB="0" distL="114300" distR="114300" simplePos="0" relativeHeight="251660288" behindDoc="0" locked="0" layoutInCell="1" hidden="0" allowOverlap="1" wp14:anchorId="7DC36104" wp14:editId="4B6DCC77">
          <wp:simplePos x="0" y="0"/>
          <wp:positionH relativeFrom="column">
            <wp:posOffset>1</wp:posOffset>
          </wp:positionH>
          <wp:positionV relativeFrom="paragraph">
            <wp:posOffset>8816340</wp:posOffset>
          </wp:positionV>
          <wp:extent cx="6154420" cy="1304290"/>
          <wp:effectExtent l="0" t="0" r="0" b="0"/>
          <wp:wrapSquare wrapText="bothSides" distT="0" distB="0" distL="114300" distR="114300"/>
          <wp:docPr id="2" name="image1.png" descr="Une image contenant texte, capture d’écran, Police, noir&#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png" descr="Une image contenant texte, capture d’écran, Police, noir&#10;&#10;Description générée automatiquement"/>
                  <pic:cNvPicPr preferRelativeResize="0"/>
                </pic:nvPicPr>
                <pic:blipFill>
                  <a:blip r:embed="rId1"/>
                  <a:srcRect/>
                  <a:stretch>
                    <a:fillRect/>
                  </a:stretch>
                </pic:blipFill>
                <pic:spPr>
                  <a:xfrm>
                    <a:off x="0" y="0"/>
                    <a:ext cx="6154420" cy="1304290"/>
                  </a:xfrm>
                  <a:prstGeom prst="rect">
                    <a:avLst/>
                  </a:prstGeom>
                  <a:ln/>
                </pic:spPr>
              </pic:pic>
            </a:graphicData>
          </a:graphic>
        </wp:anchor>
      </w:drawing>
    </w:r>
  </w:p>
  <w:p w14:paraId="4994D339" w14:textId="77777777" w:rsidR="00C118EE" w:rsidRDefault="00C118EE">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863BEB" w14:textId="77777777" w:rsidR="00C118EE" w:rsidRDefault="00C118EE">
    <w:pPr>
      <w:pBdr>
        <w:top w:val="nil"/>
        <w:left w:val="nil"/>
        <w:bottom w:val="nil"/>
        <w:right w:val="nil"/>
        <w:between w:val="nil"/>
      </w:pBdr>
      <w:rPr>
        <w:color w:val="000000"/>
      </w:rPr>
    </w:pPr>
  </w:p>
  <w:p w14:paraId="1DB5702E" w14:textId="77777777" w:rsidR="00C118EE" w:rsidRDefault="00C118EE">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4A82E6" w14:textId="77777777" w:rsidR="00B708A5" w:rsidRDefault="00B708A5">
      <w:r>
        <w:separator/>
      </w:r>
    </w:p>
  </w:footnote>
  <w:footnote w:type="continuationSeparator" w:id="0">
    <w:p w14:paraId="0C874AF6" w14:textId="77777777" w:rsidR="00B708A5" w:rsidRDefault="00B70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0BE6B1" w14:textId="77777777" w:rsidR="00C118EE" w:rsidRDefault="00C118EE">
    <w:pPr>
      <w:pBdr>
        <w:top w:val="nil"/>
        <w:left w:val="nil"/>
        <w:bottom w:val="nil"/>
        <w:right w:val="nil"/>
        <w:between w:val="nil"/>
      </w:pBdr>
      <w:rPr>
        <w:color w:val="000000"/>
      </w:rPr>
    </w:pPr>
  </w:p>
  <w:p w14:paraId="569DDDBB" w14:textId="77777777" w:rsidR="00C118EE" w:rsidRDefault="0014712B">
    <w:pPr>
      <w:pBdr>
        <w:top w:val="nil"/>
        <w:left w:val="nil"/>
        <w:bottom w:val="nil"/>
        <w:right w:val="nil"/>
        <w:between w:val="nil"/>
      </w:pBdr>
      <w:rPr>
        <w:color w:val="000000"/>
      </w:rPr>
    </w:pPr>
    <w:r>
      <w:rPr>
        <w:noProof/>
        <w:color w:val="2B579A"/>
        <w:shd w:val="clear" w:color="auto" w:fill="E6E6E6"/>
      </w:rPr>
      <w:drawing>
        <wp:anchor distT="0" distB="0" distL="0" distR="0" simplePos="0" relativeHeight="251658240" behindDoc="1" locked="0" layoutInCell="1" hidden="0" allowOverlap="1" wp14:anchorId="2999E144" wp14:editId="0F63ABD2">
          <wp:simplePos x="0" y="0"/>
          <wp:positionH relativeFrom="page">
            <wp:posOffset>3503295</wp:posOffset>
          </wp:positionH>
          <wp:positionV relativeFrom="page">
            <wp:posOffset>455295</wp:posOffset>
          </wp:positionV>
          <wp:extent cx="850900" cy="743585"/>
          <wp:effectExtent l="0" t="0" r="0" b="0"/>
          <wp:wrapNone/>
          <wp:docPr id="3" name="image2.png" descr="Une image contenant logo, Police, Graphique, conception&#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0" name="image2.png" descr="Une image contenant logo, Police, Graphique, conception&#10;&#10;Le contenu généré par l’IA peut être incorrect."/>
                  <pic:cNvPicPr preferRelativeResize="0"/>
                </pic:nvPicPr>
                <pic:blipFill>
                  <a:blip r:embed="rId1"/>
                  <a:srcRect/>
                  <a:stretch>
                    <a:fillRect/>
                  </a:stretch>
                </pic:blipFill>
                <pic:spPr>
                  <a:xfrm>
                    <a:off x="0" y="0"/>
                    <a:ext cx="850900" cy="74358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30CD3" w14:textId="77777777" w:rsidR="00C118EE" w:rsidRDefault="00C118EE">
    <w:pPr>
      <w:pBdr>
        <w:top w:val="nil"/>
        <w:left w:val="nil"/>
        <w:bottom w:val="nil"/>
        <w:right w:val="nil"/>
        <w:between w:val="nil"/>
      </w:pBdr>
      <w:rPr>
        <w:color w:val="000000"/>
      </w:rPr>
    </w:pPr>
  </w:p>
  <w:p w14:paraId="744FD6E3" w14:textId="77777777" w:rsidR="00C118EE" w:rsidRDefault="00C118EE">
    <w:pPr>
      <w:pBdr>
        <w:top w:val="nil"/>
        <w:left w:val="nil"/>
        <w:bottom w:val="nil"/>
        <w:right w:val="nil"/>
        <w:between w:val="nil"/>
      </w:pBdr>
      <w:rPr>
        <w:color w:val="000000"/>
      </w:rPr>
    </w:pPr>
  </w:p>
  <w:p w14:paraId="35F3B34F" w14:textId="77777777" w:rsidR="00C118EE" w:rsidRDefault="00C118EE">
    <w:pPr>
      <w:pBdr>
        <w:top w:val="nil"/>
        <w:left w:val="nil"/>
        <w:bottom w:val="nil"/>
        <w:right w:val="nil"/>
        <w:between w:val="nil"/>
      </w:pBdr>
      <w:jc w:val="center"/>
      <w:rPr>
        <w:color w:val="000000"/>
      </w:rPr>
    </w:pPr>
  </w:p>
  <w:p w14:paraId="6132A64E" w14:textId="77777777" w:rsidR="00C118EE" w:rsidRDefault="0014712B">
    <w:pPr>
      <w:pBdr>
        <w:top w:val="nil"/>
        <w:left w:val="nil"/>
        <w:bottom w:val="nil"/>
        <w:right w:val="nil"/>
        <w:between w:val="nil"/>
      </w:pBdr>
      <w:rPr>
        <w:color w:val="000000"/>
      </w:rPr>
    </w:pPr>
    <w:r>
      <w:rPr>
        <w:noProof/>
        <w:color w:val="2B579A"/>
        <w:shd w:val="clear" w:color="auto" w:fill="E6E6E6"/>
      </w:rPr>
      <w:drawing>
        <wp:anchor distT="0" distB="0" distL="114300" distR="114300" simplePos="0" relativeHeight="251659264" behindDoc="0" locked="0" layoutInCell="1" hidden="0" allowOverlap="1" wp14:anchorId="4E49CE5E" wp14:editId="007EBD86">
          <wp:simplePos x="0" y="0"/>
          <wp:positionH relativeFrom="page">
            <wp:posOffset>3476625</wp:posOffset>
          </wp:positionH>
          <wp:positionV relativeFrom="page">
            <wp:posOffset>800100</wp:posOffset>
          </wp:positionV>
          <wp:extent cx="850900" cy="743585"/>
          <wp:effectExtent l="0" t="0" r="0" b="0"/>
          <wp:wrapSquare wrapText="bothSides" distT="0" distB="0" distL="114300" distR="114300"/>
          <wp:docPr id="1" name="image2.png" descr="Une image contenant logo, Police, Graphique, conception&#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0" name="image2.png" descr="Une image contenant logo, Police, Graphique, conception&#10;&#10;Le contenu généré par l’IA peut être incorrect."/>
                  <pic:cNvPicPr preferRelativeResize="0"/>
                </pic:nvPicPr>
                <pic:blipFill>
                  <a:blip r:embed="rId1"/>
                  <a:srcRect/>
                  <a:stretch>
                    <a:fillRect/>
                  </a:stretch>
                </pic:blipFill>
                <pic:spPr>
                  <a:xfrm>
                    <a:off x="0" y="0"/>
                    <a:ext cx="850900" cy="743585"/>
                  </a:xfrm>
                  <a:prstGeom prst="rect">
                    <a:avLst/>
                  </a:prstGeom>
                  <a:ln/>
                </pic:spPr>
              </pic:pic>
            </a:graphicData>
          </a:graphic>
        </wp:anchor>
      </w:drawing>
    </w:r>
  </w:p>
  <w:p w14:paraId="6F22D88C" w14:textId="77777777" w:rsidR="00C118EE" w:rsidRDefault="00C118EE">
    <w:pPr>
      <w:pBdr>
        <w:top w:val="nil"/>
        <w:left w:val="nil"/>
        <w:bottom w:val="nil"/>
        <w:right w:val="nil"/>
        <w:between w:val="nil"/>
      </w:pBdr>
      <w:rPr>
        <w:color w:val="000000"/>
      </w:rPr>
    </w:pPr>
  </w:p>
  <w:p w14:paraId="26DA6760" w14:textId="77777777" w:rsidR="00C118EE" w:rsidRDefault="00C118EE">
    <w:pPr>
      <w:pBdr>
        <w:top w:val="nil"/>
        <w:left w:val="nil"/>
        <w:bottom w:val="nil"/>
        <w:right w:val="nil"/>
        <w:between w:val="nil"/>
      </w:pBdr>
      <w:rPr>
        <w:color w:val="000000"/>
      </w:rPr>
    </w:pPr>
  </w:p>
  <w:p w14:paraId="23BC92BC" w14:textId="77777777" w:rsidR="00C118EE" w:rsidRDefault="00C118EE">
    <w:pPr>
      <w:pBdr>
        <w:top w:val="nil"/>
        <w:left w:val="nil"/>
        <w:bottom w:val="nil"/>
        <w:right w:val="nil"/>
        <w:between w:val="nil"/>
      </w:pBdr>
      <w:rPr>
        <w:color w:val="000000"/>
      </w:rPr>
    </w:pPr>
  </w:p>
  <w:p w14:paraId="14560D5E" w14:textId="77777777" w:rsidR="00C118EE" w:rsidRDefault="00C118EE">
    <w:pPr>
      <w:pBdr>
        <w:top w:val="nil"/>
        <w:left w:val="nil"/>
        <w:bottom w:val="nil"/>
        <w:right w:val="nil"/>
        <w:between w:val="nil"/>
      </w:pBdr>
      <w:rPr>
        <w:color w:val="000000"/>
      </w:rPr>
    </w:pPr>
  </w:p>
  <w:p w14:paraId="444B852C" w14:textId="77777777" w:rsidR="00C118EE" w:rsidRDefault="00C118EE">
    <w:pPr>
      <w:pBdr>
        <w:top w:val="nil"/>
        <w:left w:val="nil"/>
        <w:bottom w:val="nil"/>
        <w:right w:val="nil"/>
        <w:between w:val="nil"/>
      </w:pBdr>
      <w:rPr>
        <w:color w:val="000000"/>
      </w:rPr>
    </w:pPr>
  </w:p>
  <w:p w14:paraId="2040C167" w14:textId="77777777" w:rsidR="00C118EE" w:rsidRDefault="00C118EE">
    <w:pPr>
      <w:pBdr>
        <w:top w:val="nil"/>
        <w:left w:val="nil"/>
        <w:bottom w:val="nil"/>
        <w:right w:val="nil"/>
        <w:between w:val="nil"/>
      </w:pBdr>
      <w:rPr>
        <w:color w:val="000000"/>
      </w:rPr>
    </w:pPr>
  </w:p>
  <w:p w14:paraId="6F484CC7" w14:textId="77777777" w:rsidR="00C118EE" w:rsidRDefault="00C118EE">
    <w:pPr>
      <w:pBdr>
        <w:top w:val="nil"/>
        <w:left w:val="nil"/>
        <w:bottom w:val="nil"/>
        <w:right w:val="nil"/>
        <w:between w:val="nil"/>
      </w:pBdr>
      <w:rPr>
        <w:color w:val="000000"/>
      </w:rPr>
    </w:pPr>
  </w:p>
  <w:p w14:paraId="43B66F9F" w14:textId="77777777" w:rsidR="00C118EE" w:rsidRDefault="00C118EE">
    <w:pPr>
      <w:pBdr>
        <w:top w:val="nil"/>
        <w:left w:val="nil"/>
        <w:bottom w:val="nil"/>
        <w:right w:val="nil"/>
        <w:between w:val="nil"/>
      </w:pBdr>
      <w:rPr>
        <w:color w:val="000000"/>
      </w:rPr>
    </w:pPr>
  </w:p>
  <w:p w14:paraId="48E4EDDE" w14:textId="77777777" w:rsidR="00C118EE" w:rsidRDefault="00C118EE">
    <w:pPr>
      <w:pBdr>
        <w:top w:val="nil"/>
        <w:left w:val="nil"/>
        <w:bottom w:val="nil"/>
        <w:right w:val="nil"/>
        <w:between w:val="nil"/>
      </w:pBdr>
      <w:rPr>
        <w:color w:val="000000"/>
      </w:rPr>
    </w:pPr>
  </w:p>
  <w:p w14:paraId="118645F4" w14:textId="77777777" w:rsidR="00C118EE" w:rsidRDefault="00C118EE">
    <w:pPr>
      <w:pBdr>
        <w:top w:val="nil"/>
        <w:left w:val="nil"/>
        <w:bottom w:val="nil"/>
        <w:right w:val="nil"/>
        <w:between w:val="nil"/>
      </w:pBdr>
      <w:spacing w:line="32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907C91"/>
    <w:multiLevelType w:val="multilevel"/>
    <w:tmpl w:val="7728A6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3097F0D"/>
    <w:multiLevelType w:val="multilevel"/>
    <w:tmpl w:val="F02A31C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67666861">
    <w:abstractNumId w:val="0"/>
  </w:num>
  <w:num w:numId="2" w16cid:durableId="9760279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8EE"/>
    <w:rsid w:val="00003D4A"/>
    <w:rsid w:val="00016055"/>
    <w:rsid w:val="0006323A"/>
    <w:rsid w:val="0006523B"/>
    <w:rsid w:val="000708A6"/>
    <w:rsid w:val="00084A4C"/>
    <w:rsid w:val="000B4695"/>
    <w:rsid w:val="000E278C"/>
    <w:rsid w:val="000E2868"/>
    <w:rsid w:val="0014712B"/>
    <w:rsid w:val="001844A8"/>
    <w:rsid w:val="001B25C9"/>
    <w:rsid w:val="001E2284"/>
    <w:rsid w:val="00265547"/>
    <w:rsid w:val="002F2753"/>
    <w:rsid w:val="003255A9"/>
    <w:rsid w:val="00333118"/>
    <w:rsid w:val="00353CE2"/>
    <w:rsid w:val="0035457B"/>
    <w:rsid w:val="003713C8"/>
    <w:rsid w:val="00371A5F"/>
    <w:rsid w:val="003804F2"/>
    <w:rsid w:val="003B342E"/>
    <w:rsid w:val="00400A1E"/>
    <w:rsid w:val="00404489"/>
    <w:rsid w:val="0041441B"/>
    <w:rsid w:val="004301B5"/>
    <w:rsid w:val="004451A2"/>
    <w:rsid w:val="004550F6"/>
    <w:rsid w:val="00457047"/>
    <w:rsid w:val="004630CE"/>
    <w:rsid w:val="004679D8"/>
    <w:rsid w:val="00481880"/>
    <w:rsid w:val="00483B1D"/>
    <w:rsid w:val="0049098C"/>
    <w:rsid w:val="00494320"/>
    <w:rsid w:val="004C006F"/>
    <w:rsid w:val="00564E2F"/>
    <w:rsid w:val="00573678"/>
    <w:rsid w:val="00585AE5"/>
    <w:rsid w:val="00594D16"/>
    <w:rsid w:val="005A0F10"/>
    <w:rsid w:val="00602041"/>
    <w:rsid w:val="0061481D"/>
    <w:rsid w:val="00631C11"/>
    <w:rsid w:val="00652BC7"/>
    <w:rsid w:val="0068380C"/>
    <w:rsid w:val="00683E16"/>
    <w:rsid w:val="00690AC0"/>
    <w:rsid w:val="006A443A"/>
    <w:rsid w:val="0071021A"/>
    <w:rsid w:val="00722742"/>
    <w:rsid w:val="007376F2"/>
    <w:rsid w:val="00767FC5"/>
    <w:rsid w:val="00773274"/>
    <w:rsid w:val="00786B59"/>
    <w:rsid w:val="008062CE"/>
    <w:rsid w:val="008445B4"/>
    <w:rsid w:val="008579E8"/>
    <w:rsid w:val="008741DB"/>
    <w:rsid w:val="00884523"/>
    <w:rsid w:val="00896A0F"/>
    <w:rsid w:val="008B3689"/>
    <w:rsid w:val="008D2326"/>
    <w:rsid w:val="008F140C"/>
    <w:rsid w:val="009020CA"/>
    <w:rsid w:val="00927966"/>
    <w:rsid w:val="00942F80"/>
    <w:rsid w:val="00947D8E"/>
    <w:rsid w:val="00986297"/>
    <w:rsid w:val="00990F98"/>
    <w:rsid w:val="00992AB3"/>
    <w:rsid w:val="009E008E"/>
    <w:rsid w:val="00A07DCC"/>
    <w:rsid w:val="00AC6FA4"/>
    <w:rsid w:val="00B01D2C"/>
    <w:rsid w:val="00B07359"/>
    <w:rsid w:val="00B17171"/>
    <w:rsid w:val="00B32607"/>
    <w:rsid w:val="00B43714"/>
    <w:rsid w:val="00B708A5"/>
    <w:rsid w:val="00B75A0C"/>
    <w:rsid w:val="00B80184"/>
    <w:rsid w:val="00B9646D"/>
    <w:rsid w:val="00BA1427"/>
    <w:rsid w:val="00BE3BDE"/>
    <w:rsid w:val="00C044F1"/>
    <w:rsid w:val="00C118EE"/>
    <w:rsid w:val="00C216CC"/>
    <w:rsid w:val="00C2326A"/>
    <w:rsid w:val="00C24E22"/>
    <w:rsid w:val="00C55DB8"/>
    <w:rsid w:val="00CC6445"/>
    <w:rsid w:val="00D23A88"/>
    <w:rsid w:val="00DA5936"/>
    <w:rsid w:val="00DA59FA"/>
    <w:rsid w:val="00DB0439"/>
    <w:rsid w:val="00DB4EE2"/>
    <w:rsid w:val="00DD7C83"/>
    <w:rsid w:val="00DE2609"/>
    <w:rsid w:val="00DF1496"/>
    <w:rsid w:val="00DF1B13"/>
    <w:rsid w:val="00DF7D82"/>
    <w:rsid w:val="00E14960"/>
    <w:rsid w:val="00E30EAE"/>
    <w:rsid w:val="00E439C1"/>
    <w:rsid w:val="00E95656"/>
    <w:rsid w:val="00EC4AD4"/>
    <w:rsid w:val="00EF61F3"/>
    <w:rsid w:val="00F074F5"/>
    <w:rsid w:val="00F751C9"/>
    <w:rsid w:val="00FC4BF4"/>
    <w:rsid w:val="00FD77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80BE0"/>
  <w15:docId w15:val="{888E6367-9A3C-224B-8A61-63F37175F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Verdana" w:hAnsi="Verdana" w:cs="Verdana"/>
        <w:sz w:val="19"/>
        <w:szCs w:val="19"/>
        <w:lang w:val="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after="160" w:line="540" w:lineRule="auto"/>
      <w:jc w:val="center"/>
      <w:outlineLvl w:val="0"/>
    </w:pPr>
    <w:rPr>
      <w:rFonts w:ascii="Times New Roman" w:eastAsia="Times New Roman" w:hAnsi="Times New Roman" w:cs="Times New Roman"/>
      <w:b/>
      <w:bCs/>
      <w:i/>
      <w:iCs/>
      <w:color w:val="050033"/>
      <w:sz w:val="54"/>
      <w:szCs w:val="54"/>
    </w:rPr>
  </w:style>
  <w:style w:type="paragraph" w:styleId="Ttulo2">
    <w:name w:val="heading 2"/>
    <w:basedOn w:val="Normal"/>
    <w:next w:val="Normal"/>
    <w:uiPriority w:val="9"/>
    <w:unhideWhenUsed/>
    <w:qFormat/>
    <w:pPr>
      <w:spacing w:after="160"/>
      <w:jc w:val="center"/>
      <w:outlineLvl w:val="1"/>
    </w:pPr>
    <w:rPr>
      <w:b/>
      <w:bCs/>
      <w:color w:val="050033"/>
      <w:sz w:val="15"/>
      <w:szCs w:val="15"/>
    </w:rPr>
  </w:style>
  <w:style w:type="paragraph" w:styleId="Ttulo3">
    <w:name w:val="heading 3"/>
    <w:basedOn w:val="Normal"/>
    <w:next w:val="Normal"/>
    <w:uiPriority w:val="9"/>
    <w:unhideWhenUsed/>
    <w:qFormat/>
    <w:pPr>
      <w:keepNext/>
      <w:keepLines/>
      <w:outlineLvl w:val="2"/>
    </w:pPr>
    <w:rPr>
      <w:rFonts w:ascii="Times New Roman" w:eastAsia="Times New Roman" w:hAnsi="Times New Roman" w:cs="Times New Roman"/>
      <w:b/>
      <w:bCs/>
      <w:i/>
      <w:iCs/>
      <w:color w:val="000000"/>
      <w:sz w:val="26"/>
      <w:szCs w:val="26"/>
      <w:u w:val="single"/>
    </w:rPr>
  </w:style>
  <w:style w:type="paragraph" w:styleId="Ttulo4">
    <w:name w:val="heading 4"/>
    <w:basedOn w:val="Normal"/>
    <w:next w:val="Normal"/>
    <w:uiPriority w:val="9"/>
    <w:semiHidden/>
    <w:unhideWhenUsed/>
    <w:qFormat/>
    <w:pPr>
      <w:keepNext/>
      <w:keepLines/>
      <w:spacing w:before="160" w:after="60"/>
      <w:outlineLvl w:val="3"/>
    </w:pPr>
    <w:rPr>
      <w:rFonts w:ascii="Times New Roman" w:eastAsia="Times New Roman" w:hAnsi="Times New Roman" w:cs="Times New Roman"/>
      <w:b/>
      <w:bCs/>
      <w:sz w:val="18"/>
      <w:szCs w:val="18"/>
    </w:rPr>
  </w:style>
  <w:style w:type="paragraph" w:styleId="Ttulo5">
    <w:name w:val="heading 5"/>
    <w:basedOn w:val="Normal"/>
    <w:next w:val="Normal"/>
    <w:uiPriority w:val="9"/>
    <w:semiHidden/>
    <w:unhideWhenUsed/>
    <w:qFormat/>
    <w:pPr>
      <w:keepNext/>
      <w:keepLines/>
      <w:spacing w:before="200"/>
      <w:ind w:left="1008" w:hanging="1008"/>
      <w:outlineLvl w:val="4"/>
    </w:pPr>
    <w:rPr>
      <w:rFonts w:ascii="Times New Roman" w:eastAsia="Times New Roman" w:hAnsi="Times New Roman" w:cs="Times New Roman"/>
      <w:color w:val="795623"/>
      <w:sz w:val="18"/>
      <w:szCs w:val="18"/>
    </w:rPr>
  </w:style>
  <w:style w:type="paragraph" w:styleId="Ttulo6">
    <w:name w:val="heading 6"/>
    <w:basedOn w:val="Normal"/>
    <w:next w:val="Normal"/>
    <w:uiPriority w:val="9"/>
    <w:semiHidden/>
    <w:unhideWhenUsed/>
    <w:qFormat/>
    <w:pPr>
      <w:keepNext/>
      <w:keepLines/>
      <w:spacing w:before="200"/>
      <w:ind w:left="1152" w:hanging="1152"/>
      <w:outlineLvl w:val="5"/>
    </w:pPr>
    <w:rPr>
      <w:rFonts w:ascii="Times New Roman" w:eastAsia="Times New Roman" w:hAnsi="Times New Roman" w:cs="Times New Roman"/>
      <w:i/>
      <w:iCs/>
      <w:color w:val="795623"/>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jc w:val="center"/>
    </w:pPr>
    <w:rPr>
      <w:b/>
      <w:bCs/>
      <w:color w:val="050033"/>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paragraph" w:styleId="Prrafodelista">
    <w:name w:val="List Paragraph"/>
    <w:basedOn w:val="Normal"/>
    <w:uiPriority w:val="34"/>
    <w:qFormat/>
    <w:rsid w:val="00483B1D"/>
    <w:pPr>
      <w:ind w:left="720"/>
      <w:contextualSpacing/>
    </w:pPr>
  </w:style>
  <w:style w:type="character" w:styleId="Hipervnculo">
    <w:name w:val="Hyperlink"/>
    <w:basedOn w:val="Fuentedeprrafopredeter"/>
    <w:uiPriority w:val="99"/>
    <w:unhideWhenUsed/>
    <w:rsid w:val="00DA59FA"/>
    <w:rPr>
      <w:color w:val="0000FF" w:themeColor="hyperlink"/>
      <w:u w:val="single"/>
    </w:rPr>
  </w:style>
  <w:style w:type="character" w:styleId="Mencinsinresolver">
    <w:name w:val="Unresolved Mention"/>
    <w:basedOn w:val="Fuentedeprrafopredeter"/>
    <w:uiPriority w:val="99"/>
    <w:semiHidden/>
    <w:unhideWhenUsed/>
    <w:rsid w:val="00DA59FA"/>
    <w:rPr>
      <w:color w:val="605E5C"/>
      <w:shd w:val="clear" w:color="auto" w:fill="E1DFDD"/>
    </w:rPr>
  </w:style>
  <w:style w:type="paragraph" w:styleId="Encabezado">
    <w:name w:val="header"/>
    <w:basedOn w:val="Normal"/>
    <w:link w:val="EncabezadoCar"/>
    <w:uiPriority w:val="99"/>
    <w:unhideWhenUsed/>
    <w:rsid w:val="00003D4A"/>
    <w:pPr>
      <w:tabs>
        <w:tab w:val="center" w:pos="4513"/>
        <w:tab w:val="right" w:pos="9026"/>
      </w:tabs>
    </w:pPr>
  </w:style>
  <w:style w:type="character" w:customStyle="1" w:styleId="EncabezadoCar">
    <w:name w:val="Encabezado Car"/>
    <w:basedOn w:val="Fuentedeprrafopredeter"/>
    <w:link w:val="Encabezado"/>
    <w:uiPriority w:val="99"/>
    <w:rsid w:val="00003D4A"/>
  </w:style>
  <w:style w:type="paragraph" w:styleId="Piedepgina">
    <w:name w:val="footer"/>
    <w:basedOn w:val="Normal"/>
    <w:link w:val="PiedepginaCar"/>
    <w:uiPriority w:val="99"/>
    <w:unhideWhenUsed/>
    <w:rsid w:val="00003D4A"/>
    <w:pPr>
      <w:tabs>
        <w:tab w:val="center" w:pos="4513"/>
        <w:tab w:val="right" w:pos="9026"/>
      </w:tabs>
    </w:pPr>
  </w:style>
  <w:style w:type="character" w:customStyle="1" w:styleId="PiedepginaCar">
    <w:name w:val="Pie de página Car"/>
    <w:basedOn w:val="Fuentedeprrafopredeter"/>
    <w:link w:val="Piedepgina"/>
    <w:uiPriority w:val="99"/>
    <w:rsid w:val="00003D4A"/>
  </w:style>
  <w:style w:type="character" w:styleId="Hipervnculovisitado">
    <w:name w:val="FollowedHyperlink"/>
    <w:basedOn w:val="Fuentedeprrafopredeter"/>
    <w:uiPriority w:val="99"/>
    <w:semiHidden/>
    <w:unhideWhenUsed/>
    <w:rsid w:val="00896A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ourismeconomics.com/" TargetMode="External"/><Relationship Id="rId13" Type="http://schemas.openxmlformats.org/officeDocument/2006/relationships/hyperlink" Target="https://group.accor.com/fr-FR" TargetMode="External"/><Relationship Id="rId18" Type="http://schemas.openxmlformats.org/officeDocument/2006/relationships/hyperlink" Target="https://www.tiktok.com/@accor?lang=fr"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group.accor.com/en" TargetMode="External"/><Relationship Id="rId12" Type="http://schemas.openxmlformats.org/officeDocument/2006/relationships/hyperlink" Target="https://group.accor.com/fr-FR" TargetMode="External"/><Relationship Id="rId17" Type="http://schemas.openxmlformats.org/officeDocument/2006/relationships/hyperlink" Target="https://www.instagram.com/accor"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inkedin.com/company/accor/" TargetMode="External"/><Relationship Id="rId20" Type="http://schemas.openxmlformats.org/officeDocument/2006/relationships/hyperlink" Target="mailto:prensa@serga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roup.accor.com/en/trends-insights"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facebook.com/Accor/" TargetMode="External"/><Relationship Id="rId23" Type="http://schemas.openxmlformats.org/officeDocument/2006/relationships/header" Target="header2.xml"/><Relationship Id="rId10" Type="http://schemas.openxmlformats.org/officeDocument/2006/relationships/hyperlink" Target="https://group.accor.com/en/trends-insights" TargetMode="External"/><Relationship Id="rId19" Type="http://schemas.openxmlformats.org/officeDocument/2006/relationships/hyperlink" Target="mailto:sara.lopezmorosetti@accor.com" TargetMode="External"/><Relationship Id="rId4" Type="http://schemas.openxmlformats.org/officeDocument/2006/relationships/webSettings" Target="webSettings.xml"/><Relationship Id="rId9" Type="http://schemas.openxmlformats.org/officeDocument/2006/relationships/hyperlink" Target="https://group.accor.com/files/changing-face-europe-tourism-map-2036-from-change-to-opportunity-accor-report.pdf" TargetMode="External"/><Relationship Id="rId14" Type="http://schemas.openxmlformats.org/officeDocument/2006/relationships/hyperlink" Target="https://twitter.com/Accor"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5</Pages>
  <Words>1516</Words>
  <Characters>8380</Characters>
  <Application>Microsoft Office Word</Application>
  <DocSecurity>0</DocSecurity>
  <Lines>193</Lines>
  <Paragraphs>50</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9931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108</cp:revision>
  <dcterms:created xsi:type="dcterms:W3CDTF">2026-10-19T12:28:00Z</dcterms:created>
  <dcterms:modified xsi:type="dcterms:W3CDTF">2026-10-23T09:03:00Z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0x010100BF140807CC5628459DBE7A7888D5889D</vt:lpwstr>
  </property>
  <property fmtid="{D5CDD505-2E9C-101B-9397-08002B2CF9AE}" pid="3" name="MediaServiceImageTags">
    <vt:lpwstr>MediaServiceImageTags</vt:lpwstr>
  </property>
  <property fmtid="{D5CDD505-2E9C-101B-9397-08002B2CF9AE}" pid="4" name="docLang">
    <vt:lpwstr>en</vt:lpwstr>
  </property>
  <property fmtid="{D5CDD505-2E9C-101B-9397-08002B2CF9AE}" pid="5" name="GrammarlyDocumentId">
    <vt:lpwstr>92c9d547-3a3e-418d-9b4f-c3ee967f6c7f</vt:lpwstr>
  </property>
</Properties>
</file>